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EB8B2" w14:textId="77777777" w:rsidR="009A1405" w:rsidRPr="00AF24E3" w:rsidRDefault="009A1405"/>
    <w:p w14:paraId="78AC85C5" w14:textId="77777777" w:rsidR="009A1405" w:rsidRPr="00AF24E3" w:rsidRDefault="009A1405"/>
    <w:p w14:paraId="3D3D727D" w14:textId="77777777" w:rsidR="009A1405" w:rsidRPr="00AF24E3" w:rsidRDefault="00437FDA">
      <w:pPr>
        <w:spacing w:after="40"/>
        <w:jc w:val="center"/>
      </w:pPr>
      <w:r w:rsidRPr="00AF24E3">
        <w:rPr>
          <w:b/>
          <w:bCs/>
          <w:sz w:val="38"/>
          <w:szCs w:val="38"/>
        </w:rPr>
        <w:t>EL INTELECTUAL MEDIEVAL</w:t>
      </w:r>
    </w:p>
    <w:p w14:paraId="6FBEBEDD" w14:textId="77777777" w:rsidR="009A1405" w:rsidRPr="00AF24E3" w:rsidRDefault="00437FDA">
      <w:pPr>
        <w:spacing w:after="80"/>
        <w:jc w:val="center"/>
      </w:pPr>
      <w:r w:rsidRPr="00AF24E3">
        <w:rPr>
          <w:i/>
          <w:iCs/>
          <w:sz w:val="26"/>
          <w:szCs w:val="26"/>
        </w:rPr>
        <w:t>Saberes, maestros y la ciudad como escuela</w:t>
      </w:r>
    </w:p>
    <w:p w14:paraId="1AB90EFC" w14:textId="77777777" w:rsidR="009A1405" w:rsidRPr="00AF24E3" w:rsidRDefault="009A1405">
      <w:pPr>
        <w:pBdr>
          <w:bottom w:val="single" w:sz="6" w:space="0" w:color="7B1C35"/>
        </w:pBdr>
        <w:spacing w:before="160" w:after="160"/>
      </w:pPr>
    </w:p>
    <w:p w14:paraId="1F09C60A" w14:textId="77777777" w:rsidR="009A1405" w:rsidRPr="00AF24E3" w:rsidRDefault="00437FDA">
      <w:pPr>
        <w:spacing w:before="100" w:after="60"/>
        <w:jc w:val="center"/>
      </w:pPr>
      <w:r w:rsidRPr="00AF24E3">
        <w:rPr>
          <w:sz w:val="17"/>
          <w:szCs w:val="17"/>
        </w:rPr>
        <w:t>A partir de José Luis Romero, La Edad Media (FCE, 1949) Jacques Le Goff, Los intelectuales en la Edad Media (Gedisa, 2008) y fuentes complementarias sobre las escuelas del siglo XII</w:t>
      </w:r>
    </w:p>
    <w:p w14:paraId="76041273" w14:textId="77777777" w:rsidR="009A1405" w:rsidRPr="00AF24E3" w:rsidRDefault="00437FDA">
      <w:pPr>
        <w:jc w:val="center"/>
        <w:rPr>
          <w:sz w:val="20"/>
          <w:szCs w:val="20"/>
        </w:rPr>
      </w:pPr>
      <w:r w:rsidRPr="00AF24E3">
        <w:rPr>
          <w:rFonts w:ascii="SimSun" w:eastAsia="SimSun" w:hAnsi="SimSun" w:cs="SimSun" w:hint="eastAsia"/>
          <w:sz w:val="20"/>
          <w:szCs w:val="20"/>
          <w:lang w:eastAsia="zh-CN" w:bidi="ar"/>
        </w:rPr>
        <w:t>Documento elaborado con asistencia de Claude (Anthropic). 2025.</w:t>
      </w:r>
    </w:p>
    <w:p w14:paraId="3C8FE7CB" w14:textId="77777777" w:rsidR="009A1405" w:rsidRPr="00AF24E3" w:rsidRDefault="009A1405">
      <w:pPr>
        <w:spacing w:before="60" w:after="40"/>
        <w:jc w:val="center"/>
      </w:pPr>
    </w:p>
    <w:p w14:paraId="4EF5BAFD" w14:textId="77777777" w:rsidR="009A1405" w:rsidRPr="00AF24E3" w:rsidRDefault="00437FDA">
      <w:pPr>
        <w:pStyle w:val="Ttulo1"/>
        <w:rPr>
          <w:color w:val="auto"/>
        </w:rPr>
      </w:pPr>
      <w:r w:rsidRPr="00AF24E3">
        <w:rPr>
          <w:color w:val="auto"/>
        </w:rPr>
        <w:t>Introducción: La rueda del saber y sus excluidos</w:t>
      </w:r>
    </w:p>
    <w:p w14:paraId="0ADC75C1" w14:textId="7458BEED" w:rsidR="009A1405" w:rsidRPr="00AF24E3" w:rsidRDefault="00437FDA">
      <w:pPr>
        <w:spacing w:before="60" w:after="120" w:line="280" w:lineRule="auto"/>
        <w:jc w:val="both"/>
      </w:pPr>
      <w:r w:rsidRPr="00AF24E3">
        <w:t xml:space="preserve">Hacia 1167, en el convento benedictino de Hohenbourg, enclavado en los montes Vosgos de Alsacia, la abadesa </w:t>
      </w:r>
      <w:r w:rsidRPr="00AF24E3">
        <w:rPr>
          <w:b/>
          <w:bCs/>
        </w:rPr>
        <w:t>Herrada de Hohenbourg</w:t>
      </w:r>
      <w:r w:rsidRPr="00AF24E3">
        <w:t xml:space="preserve"> emprendió</w:t>
      </w:r>
      <w:r w:rsidRPr="00AF24E3">
        <w:t xml:space="preserve"> una obra enciclopédica sin precedentes: el </w:t>
      </w:r>
      <w:r w:rsidRPr="00AF24E3">
        <w:rPr>
          <w:i/>
          <w:iCs/>
        </w:rPr>
        <w:t>Hortus deliciarum</w:t>
      </w:r>
      <w:r w:rsidRPr="00AF24E3">
        <w:t xml:space="preserve"> —«el jardín de los deleites»—, primera enciclopedia de la que se tiene evidencia que fue escrita por una mujer. Herrada la describió en términos de una metáfora apícola: los textos reunidos en e</w:t>
      </w:r>
      <w:r w:rsidRPr="00AF24E3">
        <w:t>l volumen eran las flores de un jardín, y ella era la abeja que, al libarlas, confeccionaba el panal de miel que nut</w:t>
      </w:r>
      <w:r w:rsidRPr="00AF24E3">
        <w:t>ría espiritualmente a sus religiosas. La imagen captura en un solo gesto la doble función que la cultura escrita tenía en el medioevo: alim</w:t>
      </w:r>
      <w:r w:rsidRPr="00AF24E3">
        <w:t>entar y ordenar el espíritu.</w:t>
      </w:r>
    </w:p>
    <w:p w14:paraId="1A9EA33E" w14:textId="77777777" w:rsidR="009A1405" w:rsidRPr="00AF24E3" w:rsidRDefault="00437FDA">
      <w:pPr>
        <w:spacing w:before="60" w:after="120" w:line="280" w:lineRule="auto"/>
        <w:jc w:val="both"/>
      </w:pPr>
      <w:r w:rsidRPr="00AF24E3">
        <w:t>El manuscrito, destruido en el incendio de la biblioteca de Estrasburgo durante la guerra franco-prusiana de 1870 y reconstruido en 1979 gracias a copias del siglo XIX bajo la dirección de Rosalie Green para el Warburg Institut</w:t>
      </w:r>
      <w:r w:rsidRPr="00AF24E3">
        <w:t xml:space="preserve">e de Londres, contiene lo que es quizás su miniatura más célebre: la </w:t>
      </w:r>
      <w:r w:rsidRPr="00AF24E3">
        <w:rPr>
          <w:b/>
          <w:bCs/>
        </w:rPr>
        <w:t>rueda de las artes liberales</w:t>
      </w:r>
      <w:r w:rsidRPr="00AF24E3">
        <w:t>. En ella se representan siete arcos de medio punto dispuestos en forma circular en torno a la figura de la Filosofía, que ocupa el centro. Bajo sus pies, repr</w:t>
      </w:r>
      <w:r w:rsidRPr="00AF24E3">
        <w:t xml:space="preserve">esentados según la iconografía de los escribas medievales, aparecen </w:t>
      </w:r>
      <w:r w:rsidRPr="00AF24E3">
        <w:rPr>
          <w:b/>
          <w:bCs/>
        </w:rPr>
        <w:t>Sócrates y Platón</w:t>
      </w:r>
      <w:r w:rsidRPr="00AF24E3">
        <w:t xml:space="preserve">. En cada arco, una personificación de una de las siete artes: Gramática, Retórica y Dialéctica —las artes del </w:t>
      </w:r>
      <w:r w:rsidRPr="00AF24E3">
        <w:rPr>
          <w:i/>
          <w:iCs/>
          <w:sz w:val="21"/>
          <w:szCs w:val="21"/>
        </w:rPr>
        <w:t>trivium</w:t>
      </w:r>
      <w:r w:rsidRPr="00AF24E3">
        <w:t>, a la izquierda— y Astronomía, Geometría, Aritmética</w:t>
      </w:r>
      <w:r w:rsidRPr="00AF24E3">
        <w:t xml:space="preserve"> y Música —las del </w:t>
      </w:r>
      <w:r w:rsidRPr="00AF24E3">
        <w:rPr>
          <w:i/>
          <w:iCs/>
          <w:sz w:val="21"/>
          <w:szCs w:val="21"/>
        </w:rPr>
        <w:t>quadrivium</w:t>
      </w:r>
      <w:r w:rsidRPr="00AF24E3">
        <w:t xml:space="preserve">, a la derecha. El anillo que rodea el conjunto lleva la voz de la Filosofía misma: </w:t>
      </w:r>
      <w:r w:rsidRPr="00AF24E3">
        <w:rPr>
          <w:i/>
          <w:iCs/>
          <w:sz w:val="21"/>
          <w:szCs w:val="21"/>
        </w:rPr>
        <w:t>Omnis sapientia a Domino Deo est; soli quod desiderant facere possunt sapientes</w:t>
      </w:r>
      <w:r w:rsidRPr="00AF24E3">
        <w:t xml:space="preserve"> —«Toda la sabiduría emana del Señor Dios; sólo los sabios puede</w:t>
      </w:r>
      <w:r w:rsidRPr="00AF24E3">
        <w:t>n hacer lo que desean».</w:t>
      </w:r>
    </w:p>
    <w:p w14:paraId="465401DC" w14:textId="77777777" w:rsidR="009A1405" w:rsidRPr="00AF24E3" w:rsidRDefault="00437FDA">
      <w:pPr>
        <w:spacing w:before="60" w:after="120" w:line="280" w:lineRule="auto"/>
        <w:jc w:val="both"/>
      </w:pPr>
      <w:r w:rsidRPr="00AF24E3">
        <w:t>Pero hay un detalle de la rueda que la iconografía de las artes liberales rara vez comenta y que, sin embargo, define la arquitectura del saber medieval con más elocuencia que cualquier texto programático: en los ángulos inferiores de la miniatura, fuera d</w:t>
      </w:r>
      <w:r w:rsidRPr="00AF24E3">
        <w:t xml:space="preserve">el círculo, aparecen cuatro figuras agachadas, escribiendo. El texto que las acompaña dice sin ambigüedad: </w:t>
      </w:r>
      <w:r w:rsidRPr="00AF24E3">
        <w:rPr>
          <w:b/>
          <w:bCs/>
        </w:rPr>
        <w:t>«estos, inspirados por espíritus inmundos, escriben el arte mágica y la poesía, que son fábulas mentirosas»</w:t>
      </w:r>
      <w:r w:rsidRPr="00AF24E3">
        <w:t>. Los poetas y los magos —los que trabajan</w:t>
      </w:r>
      <w:r w:rsidRPr="00AF24E3">
        <w:t xml:space="preserve"> con el lenguaje sin que la Filosofía los avale— están </w:t>
      </w:r>
      <w:r w:rsidRPr="00AF24E3">
        <w:rPr>
          <w:b/>
          <w:bCs/>
        </w:rPr>
        <w:t>excluidos del sistema</w:t>
      </w:r>
      <w:r w:rsidRPr="00AF24E3">
        <w:t xml:space="preserve">. El círculo del saber tiene una puerta, y esa puerta no está abierta para todos. Esta imagen es, en miniatura, la historia de la cultura medieval: un mundo </w:t>
      </w:r>
      <w:r w:rsidRPr="00AF24E3">
        <w:lastRenderedPageBreak/>
        <w:t>que organiza el conocim</w:t>
      </w:r>
      <w:r w:rsidRPr="00AF24E3">
        <w:t>iento en jerarquías, que define con precisión quién produce saber legítimo y quién produce saber contaminado.</w:t>
      </w:r>
    </w:p>
    <w:p w14:paraId="3FD2A86F" w14:textId="62BBD78A" w:rsidR="009A1405" w:rsidRDefault="00437FDA">
      <w:pPr>
        <w:spacing w:before="60" w:after="120" w:line="280" w:lineRule="auto"/>
        <w:jc w:val="both"/>
      </w:pPr>
      <w:r w:rsidRPr="00AF24E3">
        <w:t xml:space="preserve">Leer la rueda del </w:t>
      </w:r>
      <w:r w:rsidRPr="00AF24E3">
        <w:rPr>
          <w:i/>
          <w:iCs/>
        </w:rPr>
        <w:t>Hortus deliciarum</w:t>
      </w:r>
      <w:r w:rsidRPr="00AF24E3">
        <w:t xml:space="preserve"> es leer la cartografía intelectual del siglo XII. La Filosofía reina porque —como dice la miniatura— de ella e</w:t>
      </w:r>
      <w:r w:rsidRPr="00AF24E3">
        <w:t xml:space="preserve">manan siete ramas que son, a la vez, técnicas del pensar y técnicas del hablar, instrumentos intelectuales y pasaportes sociales. El medioevo no heredó estas categorías de la nada: las recibió de la tradición tardoantigua y las reelaboró en función de sus </w:t>
      </w:r>
      <w:r w:rsidRPr="00AF24E3">
        <w:t>propias necesidades religiosas, políticas e institucionales. Comprender cómo funcionó ese sistema —y qué figuras lo poblaron, lo tensionaron y lo hicieron estallar desde adentro— es el propósito de este documento.</w:t>
      </w:r>
    </w:p>
    <w:p w14:paraId="5B48AF7C" w14:textId="5C461324" w:rsidR="005E66C3" w:rsidRDefault="005E66C3">
      <w:r>
        <w:lastRenderedPageBreak/>
        <w:br w:type="page"/>
      </w:r>
      <w:bookmarkStart w:id="0" w:name="_GoBack"/>
      <w:r>
        <w:rPr>
          <w:noProof/>
        </w:rPr>
        <w:drawing>
          <wp:anchor distT="0" distB="0" distL="114300" distR="114300" simplePos="0" relativeHeight="251659264" behindDoc="0" locked="0" layoutInCell="1" allowOverlap="1" wp14:anchorId="07592C24" wp14:editId="02FF0F50">
            <wp:simplePos x="0" y="0"/>
            <wp:positionH relativeFrom="column">
              <wp:posOffset>0</wp:posOffset>
            </wp:positionH>
            <wp:positionV relativeFrom="paragraph">
              <wp:posOffset>836295</wp:posOffset>
            </wp:positionV>
            <wp:extent cx="6120000" cy="8024400"/>
            <wp:effectExtent l="0" t="0" r="0" b="0"/>
            <wp:wrapSquare wrapText="bothSides"/>
            <wp:docPr id="1"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120000" cy="8024400"/>
                    </a:xfrm>
                    <a:prstGeom prst="rect">
                      <a:avLst/>
                    </a:prstGeom>
                  </pic:spPr>
                </pic:pic>
              </a:graphicData>
            </a:graphic>
          </wp:anchor>
        </w:drawing>
      </w:r>
      <w:bookmarkEnd w:id="0"/>
    </w:p>
    <w:p w14:paraId="59B9DDA2" w14:textId="77777777" w:rsidR="00FC2099" w:rsidRDefault="00FC2099">
      <w:pPr>
        <w:spacing w:before="60" w:after="120" w:line="280" w:lineRule="auto"/>
        <w:jc w:val="both"/>
      </w:pPr>
    </w:p>
    <w:p w14:paraId="6FD80216" w14:textId="77777777" w:rsidR="009A1405" w:rsidRPr="00AF24E3" w:rsidRDefault="00437FDA">
      <w:pPr>
        <w:pStyle w:val="Ttulo1"/>
        <w:rPr>
          <w:color w:val="auto"/>
        </w:rPr>
      </w:pPr>
      <w:r w:rsidRPr="00AF24E3">
        <w:rPr>
          <w:color w:val="auto"/>
        </w:rPr>
        <w:t xml:space="preserve">I. Las Artes Liberales: Técnica, Saber y </w:t>
      </w:r>
      <w:r w:rsidRPr="00AF24E3">
        <w:rPr>
          <w:color w:val="auto"/>
        </w:rPr>
        <w:t>Libertad</w:t>
      </w:r>
    </w:p>
    <w:p w14:paraId="271737E2" w14:textId="77777777" w:rsidR="009A1405" w:rsidRPr="00AF24E3" w:rsidRDefault="00437FDA">
      <w:pPr>
        <w:pStyle w:val="Ttulo2"/>
        <w:rPr>
          <w:color w:val="auto"/>
        </w:rPr>
      </w:pPr>
      <w:r w:rsidRPr="00AF24E3">
        <w:rPr>
          <w:color w:val="auto"/>
        </w:rPr>
        <w:t>1.1 Ars como techne: el intelectual como artesano</w:t>
      </w:r>
    </w:p>
    <w:p w14:paraId="48191E14" w14:textId="77777777" w:rsidR="009A1405" w:rsidRPr="00AF24E3" w:rsidRDefault="00437FDA">
      <w:pPr>
        <w:spacing w:before="60" w:after="120" w:line="280" w:lineRule="auto"/>
        <w:jc w:val="both"/>
      </w:pPr>
      <w:r w:rsidRPr="00AF24E3">
        <w:t>La expresión «artes liberales» encierra una paradoja que merece ser desplegada antes de que se vuelva invisible por familiaridad. Son «liberales» porque —en la formulación clásica que heredaron los</w:t>
      </w:r>
      <w:r w:rsidRPr="00AF24E3">
        <w:t xml:space="preserve"> medievales— son propias del hombre libre, del </w:t>
      </w:r>
      <w:r w:rsidRPr="00AF24E3">
        <w:rPr>
          <w:i/>
          <w:iCs/>
          <w:sz w:val="21"/>
          <w:szCs w:val="21"/>
        </w:rPr>
        <w:t>liber</w:t>
      </w:r>
      <w:r w:rsidRPr="00AF24E3">
        <w:t xml:space="preserve"> que puede consagrarse al cultivo del espíritu sin las exigencias de la necesidad material. Pero la palabra </w:t>
      </w:r>
      <w:r w:rsidRPr="00AF24E3">
        <w:rPr>
          <w:i/>
          <w:iCs/>
          <w:sz w:val="21"/>
          <w:szCs w:val="21"/>
        </w:rPr>
        <w:t>ars</w:t>
      </w:r>
      <w:r w:rsidRPr="00AF24E3">
        <w:t xml:space="preserve">, como señaló Jacques Le Goff en su estudio sobre los intelectuales medievales, no significa </w:t>
      </w:r>
      <w:r w:rsidRPr="00AF24E3">
        <w:t xml:space="preserve">simplemente «ciencia» ni «disciplina»: significa </w:t>
      </w:r>
      <w:r w:rsidRPr="00AF24E3">
        <w:rPr>
          <w:b/>
          <w:bCs/>
        </w:rPr>
        <w:t>técnica</w:t>
      </w:r>
      <w:r w:rsidRPr="00AF24E3">
        <w:t>. «</w:t>
      </w:r>
      <w:r w:rsidRPr="00AF24E3">
        <w:rPr>
          <w:i/>
          <w:iCs/>
          <w:sz w:val="21"/>
          <w:szCs w:val="21"/>
        </w:rPr>
        <w:t>Ars</w:t>
      </w:r>
      <w:r w:rsidRPr="00AF24E3">
        <w:t xml:space="preserve"> es </w:t>
      </w:r>
      <w:r w:rsidRPr="00AF24E3">
        <w:rPr>
          <w:i/>
          <w:iCs/>
          <w:sz w:val="21"/>
          <w:szCs w:val="21"/>
        </w:rPr>
        <w:t>tekhné</w:t>
      </w:r>
      <w:r w:rsidRPr="00AF24E3">
        <w:t>», escribe Le Goff: «es la especialidad del profesor así como el carpintero y el herrero tienen las suyas. Un arte es toda actividad racional y justa del espíritu aplicada a la fabrica</w:t>
      </w:r>
      <w:r w:rsidRPr="00AF24E3">
        <w:t>ción de instrumentos, tanto materiales como intelectuales; es una técnica inteligente del hacer» (Le Goff, 2008, p. 31).</w:t>
      </w:r>
    </w:p>
    <w:p w14:paraId="18FB5334" w14:textId="77777777" w:rsidR="009A1405" w:rsidRPr="00AF24E3" w:rsidRDefault="00437FDA">
      <w:pPr>
        <w:spacing w:before="60" w:after="120" w:line="280" w:lineRule="auto"/>
        <w:jc w:val="both"/>
      </w:pPr>
      <w:r w:rsidRPr="00AF24E3">
        <w:t>Esta equiparación no es retórica. Tiene una consecuencia institucional decisiva: el maestro medieval del siglo XII se concibe a sí mism</w:t>
      </w:r>
      <w:r w:rsidRPr="00AF24E3">
        <w:t xml:space="preserve">o, y es concebido por su entorno, como un </w:t>
      </w:r>
      <w:r w:rsidRPr="00AF24E3">
        <w:rPr>
          <w:b/>
          <w:bCs/>
        </w:rPr>
        <w:t>artesano del espíritu</w:t>
      </w:r>
      <w:r w:rsidRPr="00AF24E3">
        <w:t>. Su oficio —</w:t>
      </w:r>
      <w:r w:rsidRPr="00AF24E3">
        <w:rPr>
          <w:i/>
          <w:iCs/>
          <w:sz w:val="21"/>
          <w:szCs w:val="21"/>
        </w:rPr>
        <w:t>officium</w:t>
      </w:r>
      <w:r w:rsidRPr="00AF24E3">
        <w:t xml:space="preserve">— es pensar y enseñar su pensamiento. En esto se distingue radicalmente del monje: el monje atesora el saber para la santificación propia y de su comunidad; el intelectual </w:t>
      </w:r>
      <w:r w:rsidRPr="00AF24E3">
        <w:t xml:space="preserve">urbano del siglo XII, en cambio, está convencido de que el saber </w:t>
      </w:r>
      <w:r w:rsidRPr="00AF24E3">
        <w:rPr>
          <w:b/>
          <w:bCs/>
        </w:rPr>
        <w:t>debe circular</w:t>
      </w:r>
      <w:r w:rsidRPr="00AF24E3">
        <w:t>. «Las escuelas son talleres de los que salen las ideas, como mercancías», registran los apuntes sobre la escuela de Chartres en el volumen del que disponemos. El maestro, en est</w:t>
      </w:r>
      <w:r w:rsidRPr="00AF24E3">
        <w:t>e universo, «trata en un mismo plano al productor, al artesano y al mercader». La ciudad es el espacio de este nuevo régimen del conocimiento.</w:t>
      </w:r>
    </w:p>
    <w:p w14:paraId="60542157" w14:textId="77777777" w:rsidR="009A1405" w:rsidRPr="00AF24E3" w:rsidRDefault="00437FDA">
      <w:pPr>
        <w:pStyle w:val="Ttulo2"/>
        <w:rPr>
          <w:color w:val="auto"/>
        </w:rPr>
      </w:pPr>
      <w:r w:rsidRPr="00AF24E3">
        <w:rPr>
          <w:color w:val="auto"/>
        </w:rPr>
        <w:t>1.2 Trivium y quadrivium: la arquitectura del saber</w:t>
      </w:r>
    </w:p>
    <w:p w14:paraId="7A190A00" w14:textId="77777777" w:rsidR="009A1405" w:rsidRPr="00AF24E3" w:rsidRDefault="00437FDA">
      <w:pPr>
        <w:spacing w:before="60" w:after="120" w:line="280" w:lineRule="auto"/>
        <w:jc w:val="both"/>
      </w:pPr>
      <w:r w:rsidRPr="00AF24E3">
        <w:t xml:space="preserve">La división del saber en </w:t>
      </w:r>
      <w:r w:rsidRPr="00AF24E3">
        <w:rPr>
          <w:i/>
          <w:iCs/>
          <w:sz w:val="21"/>
          <w:szCs w:val="21"/>
        </w:rPr>
        <w:t>trivium</w:t>
      </w:r>
      <w:r w:rsidRPr="00AF24E3">
        <w:t xml:space="preserve"> y </w:t>
      </w:r>
      <w:r w:rsidRPr="00AF24E3">
        <w:rPr>
          <w:i/>
          <w:iCs/>
          <w:sz w:val="21"/>
          <w:szCs w:val="21"/>
        </w:rPr>
        <w:t>quadrivium</w:t>
      </w:r>
      <w:r w:rsidRPr="00AF24E3">
        <w:t xml:space="preserve"> no fue una invención medieval: fue una herencia de la Tardoantigüedad codificada —como tantas otras cosas— por las </w:t>
      </w:r>
      <w:r w:rsidRPr="00AF24E3">
        <w:rPr>
          <w:i/>
          <w:iCs/>
        </w:rPr>
        <w:t>Etymologiae</w:t>
      </w:r>
      <w:r w:rsidRPr="00AF24E3">
        <w:t xml:space="preserve"> de Isidoro de Sevilla y por la </w:t>
      </w:r>
      <w:r w:rsidRPr="00AF24E3">
        <w:rPr>
          <w:i/>
          <w:iCs/>
        </w:rPr>
        <w:t>De nuptiis Philologiae et Mercurii</w:t>
      </w:r>
      <w:r w:rsidRPr="00AF24E3">
        <w:t xml:space="preserve"> de Marciano Capella (siglo V). Lo que el medioevo aportó fue una institucionalización pedagógica de esas categorías que las transformó en el esqueleto de la enseñanza durante casi mil años. El </w:t>
      </w:r>
      <w:r w:rsidRPr="00AF24E3">
        <w:rPr>
          <w:i/>
          <w:iCs/>
          <w:sz w:val="21"/>
          <w:szCs w:val="21"/>
        </w:rPr>
        <w:t>trivium</w:t>
      </w:r>
      <w:r w:rsidRPr="00AF24E3">
        <w:t xml:space="preserve"> —gramática, retórica, dialéctica— trabajaba con las pa</w:t>
      </w:r>
      <w:r w:rsidRPr="00AF24E3">
        <w:t xml:space="preserve">labras; el </w:t>
      </w:r>
      <w:r w:rsidRPr="00AF24E3">
        <w:rPr>
          <w:i/>
          <w:iCs/>
          <w:sz w:val="21"/>
          <w:szCs w:val="21"/>
        </w:rPr>
        <w:t>quadrivium</w:t>
      </w:r>
      <w:r w:rsidRPr="00AF24E3">
        <w:t xml:space="preserve"> —aritmética, geometría, música, astronomía— trabajaba con las cosas. Esta bipartición no era neutral: jerarquizaba.</w:t>
      </w:r>
    </w:p>
    <w:p w14:paraId="5330B11A" w14:textId="77777777" w:rsidR="009A1405" w:rsidRPr="00AF24E3" w:rsidRDefault="00437FDA">
      <w:pPr>
        <w:spacing w:before="60" w:after="120" w:line="280" w:lineRule="auto"/>
        <w:jc w:val="both"/>
      </w:pPr>
      <w:r w:rsidRPr="00AF24E3">
        <w:t>En la práctica de las escuelas altomedievales, y todavía en las escuelas catedralicias del siglo XI, la gramática domi</w:t>
      </w:r>
      <w:r w:rsidRPr="00AF24E3">
        <w:t xml:space="preserve">naba el </w:t>
      </w:r>
      <w:r w:rsidRPr="00AF24E3">
        <w:rPr>
          <w:i/>
          <w:iCs/>
          <w:sz w:val="21"/>
          <w:szCs w:val="21"/>
        </w:rPr>
        <w:t>trivium</w:t>
      </w:r>
      <w:r w:rsidRPr="00AF24E3">
        <w:t xml:space="preserve"> porque era la puerta de acceso al latín —y sin el latín no había acceso a ningún texto sagrado ni profano—. Aprender gramática no era aprender reglas morfosintácticas abstractas: era aprender a leer las Escrituras, a hacer glosas, a compone</w:t>
      </w:r>
      <w:r w:rsidRPr="00AF24E3">
        <w:t xml:space="preserve">r cartas y documentos. La retórica interesaba fundamentalmente como </w:t>
      </w:r>
      <w:r w:rsidRPr="00AF24E3">
        <w:rPr>
          <w:i/>
          <w:iCs/>
          <w:sz w:val="21"/>
          <w:szCs w:val="21"/>
        </w:rPr>
        <w:t>ars dictandi</w:t>
      </w:r>
      <w:r w:rsidRPr="00AF24E3">
        <w:t>, el arte de redactar. La dialéctica —recuperada en la Temprana Edad Media a través de Boecio, que tradujo al latín partes del corpus lógico de Aristóteles— comenzó a desempeña</w:t>
      </w:r>
      <w:r w:rsidRPr="00AF24E3">
        <w:t xml:space="preserve">r un papel cada </w:t>
      </w:r>
      <w:r w:rsidRPr="00AF24E3">
        <w:lastRenderedPageBreak/>
        <w:t xml:space="preserve">vez más perturbador en el siglo XI, cuando alguien tuvo la ocurrencia de aplicarla no solo a problemas lingüísticos sino a problemas </w:t>
      </w:r>
      <w:r w:rsidRPr="00AF24E3">
        <w:rPr>
          <w:b/>
          <w:bCs/>
        </w:rPr>
        <w:t>teológicos</w:t>
      </w:r>
      <w:r w:rsidRPr="00AF24E3">
        <w:t>. Ese gesto, como se verá, lo cambió todo.</w:t>
      </w:r>
    </w:p>
    <w:p w14:paraId="67133CEF" w14:textId="77777777" w:rsidR="009A1405" w:rsidRPr="00AF24E3" w:rsidRDefault="00437FDA">
      <w:pPr>
        <w:spacing w:before="60" w:after="120" w:line="280" w:lineRule="auto"/>
        <w:jc w:val="both"/>
      </w:pPr>
      <w:r w:rsidRPr="00AF24E3">
        <w:t xml:space="preserve">En cuanto al </w:t>
      </w:r>
      <w:r w:rsidRPr="00AF24E3">
        <w:rPr>
          <w:i/>
          <w:iCs/>
          <w:sz w:val="21"/>
          <w:szCs w:val="21"/>
        </w:rPr>
        <w:t>quadrivium</w:t>
      </w:r>
      <w:r w:rsidRPr="00AF24E3">
        <w:t>, las escuelas carolingias y ca</w:t>
      </w:r>
      <w:r w:rsidRPr="00AF24E3">
        <w:t>tedralicias lo cultivaron de manera irregular. Romero observa que los autores carolingios «se mostraron interesados por el número, tanto en su sentido alegórico como práctica para la arquitectura y los cálculos astronómicos»: usaron la aritmética de Boecio</w:t>
      </w:r>
      <w:r w:rsidRPr="00AF24E3">
        <w:t xml:space="preserve">, la geometría de Euclides, la </w:t>
      </w:r>
      <w:r w:rsidRPr="00AF24E3">
        <w:rPr>
          <w:i/>
          <w:iCs/>
        </w:rPr>
        <w:t>Naturalis historia</w:t>
      </w:r>
      <w:r w:rsidRPr="00AF24E3">
        <w:t xml:space="preserve"> de Plinio. La música, concebida en la tradición pitagórica como disciplina matemática con implicaciones cosmológicas —sus armonías regulan el movimiento de los cuerpos celestes—, era inseparable de la litur</w:t>
      </w:r>
      <w:r w:rsidRPr="00AF24E3">
        <w:t xml:space="preserve">gia. Pero había una asimetría sistemática: el </w:t>
      </w:r>
      <w:r w:rsidRPr="00AF24E3">
        <w:rPr>
          <w:i/>
          <w:iCs/>
          <w:sz w:val="21"/>
          <w:szCs w:val="21"/>
        </w:rPr>
        <w:t>trivium</w:t>
      </w:r>
      <w:r w:rsidRPr="00AF24E3">
        <w:t xml:space="preserve">, centrado en el lenguaje y la interpretación de textos, absorbía la mayor parte de la energía pedagógica. El </w:t>
      </w:r>
      <w:r w:rsidRPr="00AF24E3">
        <w:rPr>
          <w:i/>
          <w:iCs/>
          <w:sz w:val="21"/>
          <w:szCs w:val="21"/>
        </w:rPr>
        <w:t>quadrivium</w:t>
      </w:r>
      <w:r w:rsidRPr="00AF24E3">
        <w:t>, orientado al mundo físico, era frecuentemente deficitario.</w:t>
      </w:r>
    </w:p>
    <w:p w14:paraId="4B06A04C" w14:textId="77777777" w:rsidR="009A1405" w:rsidRPr="00AF24E3" w:rsidRDefault="00437FDA">
      <w:pPr>
        <w:pBdr>
          <w:left w:val="single" w:sz="8" w:space="0" w:color="7B1C35"/>
        </w:pBdr>
        <w:spacing w:before="140" w:after="140" w:line="280" w:lineRule="auto"/>
        <w:ind w:left="800" w:right="800"/>
        <w:jc w:val="both"/>
      </w:pPr>
      <w:r w:rsidRPr="00AF24E3">
        <w:rPr>
          <w:i/>
          <w:iCs/>
          <w:sz w:val="20"/>
          <w:szCs w:val="20"/>
        </w:rPr>
        <w:t xml:space="preserve">«Del cuadrivium y del </w:t>
      </w:r>
      <w:r w:rsidRPr="00AF24E3">
        <w:rPr>
          <w:i/>
          <w:iCs/>
          <w:sz w:val="20"/>
          <w:szCs w:val="20"/>
        </w:rPr>
        <w:t>trivium nacen las siete educadoras atenienses, es decir, las artes liberales, llamadas así precisamente porque liberan el ánimo de las ocupaciones terrenales y lo disponen para conocer al Creador.»</w:t>
      </w:r>
      <w:r w:rsidRPr="00AF24E3">
        <w:rPr>
          <w:sz w:val="18"/>
          <w:szCs w:val="18"/>
        </w:rPr>
        <w:t>— Herrada de Hohenbourg, Hortus deliciarum, c. 1175</w:t>
      </w:r>
    </w:p>
    <w:p w14:paraId="45D82719" w14:textId="77777777" w:rsidR="009A1405" w:rsidRPr="00AF24E3" w:rsidRDefault="00437FDA">
      <w:pPr>
        <w:pStyle w:val="Ttulo2"/>
        <w:rPr>
          <w:color w:val="auto"/>
        </w:rPr>
      </w:pPr>
      <w:r w:rsidRPr="00AF24E3">
        <w:rPr>
          <w:color w:val="auto"/>
        </w:rPr>
        <w:t>1.3 Los</w:t>
      </w:r>
      <w:r w:rsidRPr="00AF24E3">
        <w:rPr>
          <w:color w:val="auto"/>
        </w:rPr>
        <w:t xml:space="preserve"> excluidos de la rueda</w:t>
      </w:r>
    </w:p>
    <w:p w14:paraId="6F6BB876" w14:textId="77777777" w:rsidR="009A1405" w:rsidRPr="00AF24E3" w:rsidRDefault="00437FDA">
      <w:pPr>
        <w:spacing w:before="60" w:after="120" w:line="280" w:lineRule="auto"/>
        <w:jc w:val="both"/>
      </w:pPr>
      <w:r w:rsidRPr="00AF24E3">
        <w:t xml:space="preserve">Volvamos a los cuatro personajes de las esquinas inferiores del </w:t>
      </w:r>
      <w:r w:rsidRPr="00AF24E3">
        <w:rPr>
          <w:i/>
          <w:iCs/>
        </w:rPr>
        <w:t>Hortus deliciarum</w:t>
      </w:r>
      <w:r w:rsidRPr="00AF24E3">
        <w:t xml:space="preserve">: los poetas y magos inspirados por espíritus inmundos. Su exclusión no es accidental ni decorativa: es </w:t>
      </w:r>
      <w:r w:rsidRPr="00AF24E3">
        <w:rPr>
          <w:b/>
          <w:bCs/>
        </w:rPr>
        <w:t>constitutiva</w:t>
      </w:r>
      <w:r w:rsidRPr="00AF24E3">
        <w:t xml:space="preserve"> del sistema. El saber legítimo es e</w:t>
      </w:r>
      <w:r w:rsidRPr="00AF24E3">
        <w:t xml:space="preserve">l que deriva de la Filosofía, que deriva de Dios. El saber que circula por fuera de ese linaje —la poesía pagana sin moralización cristiana, las artes adivinatorias, la magia— no solo es improductivo sino activamente peligroso. La rueda del </w:t>
      </w:r>
      <w:r w:rsidRPr="00AF24E3">
        <w:rPr>
          <w:i/>
          <w:iCs/>
        </w:rPr>
        <w:t>Hortus</w:t>
      </w:r>
      <w:r w:rsidRPr="00AF24E3">
        <w:t xml:space="preserve"> es, en e</w:t>
      </w:r>
      <w:r w:rsidRPr="00AF24E3">
        <w:t>ste sentido, también un dispositivo de control: define el perímetro del conocimiento autorizado y señala quiénes están fuera de él.</w:t>
      </w:r>
    </w:p>
    <w:p w14:paraId="7F5776F0" w14:textId="77777777" w:rsidR="009A1405" w:rsidRPr="00AF24E3" w:rsidRDefault="00437FDA">
      <w:pPr>
        <w:spacing w:before="60" w:after="120" w:line="280" w:lineRule="auto"/>
        <w:jc w:val="both"/>
      </w:pPr>
      <w:r w:rsidRPr="00AF24E3">
        <w:t>Esta exclusión tendrá su propia historia de tensiones. Los goliardos del siglo XII —estudiantes errantes, clérigos sin prebe</w:t>
      </w:r>
      <w:r w:rsidRPr="00AF24E3">
        <w:t>nda, cultivadores de una poesía que mezclaba el latín eclesiástico con el erotismo pagano y la crítica anticlerical— ocuparán exactamente el lugar de esos personajes de las esquinas: dentro del sistema letrado por su formación, pero al margen de sus instit</w:t>
      </w:r>
      <w:r w:rsidRPr="00AF24E3">
        <w:t xml:space="preserve">uciones por su conducta y sus temas. Y la recepción del corpus aristotélico a través del árabe, a partir de mediados del siglo XII, introducirá en el interior mismo de las universidades un saber que la rueda del </w:t>
      </w:r>
      <w:r w:rsidRPr="00AF24E3">
        <w:rPr>
          <w:i/>
          <w:iCs/>
        </w:rPr>
        <w:t>Hortus</w:t>
      </w:r>
      <w:r w:rsidRPr="00AF24E3">
        <w:t xml:space="preserve"> no había previsto: la filosofía natur</w:t>
      </w:r>
      <w:r w:rsidRPr="00AF24E3">
        <w:t xml:space="preserve">al de Aristóteles, que no deriva de la Filosofía cristiana sino de la razón observacional, y que </w:t>
      </w:r>
      <w:r w:rsidRPr="00AF24E3">
        <w:rPr>
          <w:b/>
          <w:bCs/>
        </w:rPr>
        <w:t>no puede ser simplemente trazada de vuelta a Dios</w:t>
      </w:r>
      <w:r w:rsidRPr="00AF24E3">
        <w:t xml:space="preserve"> sin tensiones.</w:t>
      </w:r>
    </w:p>
    <w:p w14:paraId="270DE165" w14:textId="77777777" w:rsidR="009A1405" w:rsidRPr="00AF24E3" w:rsidRDefault="00437FDA">
      <w:pPr>
        <w:pStyle w:val="Ttulo1"/>
        <w:rPr>
          <w:color w:val="auto"/>
        </w:rPr>
      </w:pPr>
      <w:r w:rsidRPr="00AF24E3">
        <w:rPr>
          <w:color w:val="auto"/>
        </w:rPr>
        <w:t>II. El Nacimiento del Intelectual como Tipo Sociológico</w:t>
      </w:r>
    </w:p>
    <w:p w14:paraId="3F8A3C64" w14:textId="77777777" w:rsidR="009A1405" w:rsidRPr="00AF24E3" w:rsidRDefault="00437FDA">
      <w:pPr>
        <w:pStyle w:val="Ttulo2"/>
        <w:rPr>
          <w:color w:val="auto"/>
        </w:rPr>
      </w:pPr>
      <w:r w:rsidRPr="00AF24E3">
        <w:rPr>
          <w:color w:val="auto"/>
        </w:rPr>
        <w:t xml:space="preserve">2.1 La ciudad como condición de </w:t>
      </w:r>
      <w:r w:rsidRPr="00AF24E3">
        <w:rPr>
          <w:color w:val="auto"/>
        </w:rPr>
        <w:t>posibilidad</w:t>
      </w:r>
    </w:p>
    <w:p w14:paraId="4A98B911" w14:textId="77777777" w:rsidR="009A1405" w:rsidRPr="00AF24E3" w:rsidRDefault="00437FDA">
      <w:pPr>
        <w:spacing w:before="60" w:after="120" w:line="280" w:lineRule="auto"/>
        <w:jc w:val="both"/>
      </w:pPr>
      <w:r w:rsidRPr="00AF24E3">
        <w:t xml:space="preserve">En el prefacio a su estudio sobre los intelectuales medievales, Le Goff formula una premisa que parece obvia pero que, una vez desplegada, resulta poderosa: «el nacimiento del 'intelectual' como tipo sociológico nuevo presupone la división del </w:t>
      </w:r>
      <w:r w:rsidRPr="00AF24E3">
        <w:t xml:space="preserve">trabajo urbano» (Le Goff, </w:t>
      </w:r>
      <w:r w:rsidRPr="00AF24E3">
        <w:lastRenderedPageBreak/>
        <w:t>2008, p. 23). Sin ciudad no hay intelectual en el sentido moderno del término; sin la economía urbana, el mercado de bienes simbólicos no existe; sin el mercado de bienes simbólicos, el maestro que vive de su enseñanza —cobrando a</w:t>
      </w:r>
      <w:r w:rsidRPr="00AF24E3">
        <w:t xml:space="preserve"> sus alumnos, compitiendo con otros maestros, cultivando una reputación— no puede existir.</w:t>
      </w:r>
    </w:p>
    <w:p w14:paraId="4EDD2AAA" w14:textId="77777777" w:rsidR="009A1405" w:rsidRPr="00AF24E3" w:rsidRDefault="00437FDA">
      <w:pPr>
        <w:spacing w:before="60" w:after="120" w:line="280" w:lineRule="auto"/>
        <w:jc w:val="both"/>
      </w:pPr>
      <w:r w:rsidRPr="00AF24E3">
        <w:t>Le Goff sitúa el nacimiento de este tipo sociológico en el siglo XII y lo describe como producto de un desplazamiento histórico: el corrimiento del eje cultural de l</w:t>
      </w:r>
      <w:r w:rsidRPr="00AF24E3">
        <w:t>a cultura monástica, ruralmente emplazada, hacia las escuelas urbanas. El simbolismo geográfico que él propone es elocuente: «Ciudad-centro. Corrimiento de Atenas a Roma y de Roma a París; París, tanto en la realidad como simbólicamente, es para unos la ci</w:t>
      </w:r>
      <w:r w:rsidRPr="00AF24E3">
        <w:t>udad faro, la fuente de todo goce intelectual, y para otros, el antro del diablo en el que se mezclan la perversidad de los espíritus entregados a la depravación filosófica y las torpezas de una vida licenciosa» (Le Goff, 2008, p. 37). La ciudad es, simult</w:t>
      </w:r>
      <w:r w:rsidRPr="00AF24E3">
        <w:t>áneamente, el espacio de la renovación intelectual y el espacio del escándalo: no hay progreso del saber sin riesgo.</w:t>
      </w:r>
    </w:p>
    <w:p w14:paraId="2A191CAE" w14:textId="77777777" w:rsidR="009A1405" w:rsidRPr="00AF24E3" w:rsidRDefault="00437FDA">
      <w:pPr>
        <w:spacing w:before="60" w:after="120" w:line="280" w:lineRule="auto"/>
        <w:jc w:val="both"/>
      </w:pPr>
      <w:r w:rsidRPr="00AF24E3">
        <w:t xml:space="preserve">Este diagnóstico se inscribe en la línea de interpretación de la Alta Edad Media que desarrolla José Luis Romero en su </w:t>
      </w:r>
      <w:r w:rsidRPr="00AF24E3">
        <w:rPr>
          <w:i/>
          <w:iCs/>
        </w:rPr>
        <w:t>Panorama de la cultu</w:t>
      </w:r>
      <w:r w:rsidRPr="00AF24E3">
        <w:rPr>
          <w:i/>
          <w:iCs/>
        </w:rPr>
        <w:t>ra medieval</w:t>
      </w:r>
      <w:r w:rsidRPr="00AF24E3">
        <w:t>. Para Romero, el surgimiento de las ciudades desde el siglo XI es el factor que multiplica las escuelas, que crea la demanda de letrados especializados —juristas, teólogos, médicos— y que produce una nueva clase social: la burguesía, cuya relac</w:t>
      </w:r>
      <w:r w:rsidRPr="00AF24E3">
        <w:t>ión con el saber es radicalmente distinta de la del monje o del caballero. «Del trabajo se orientaba también hacia la actividad intelectual —escribe Romero—, y de su seno había de salir buena parte de la clase de los letrados, eclesiásticos y laicos, que b</w:t>
      </w:r>
      <w:r w:rsidRPr="00AF24E3">
        <w:t>rillaron durante los dos grandes siglos de la cultura de la alta Edad Media, el XII y el XIII» (Romero, 1951, p. 147).</w:t>
      </w:r>
    </w:p>
    <w:p w14:paraId="7A2D7A06" w14:textId="77777777" w:rsidR="009A1405" w:rsidRPr="00AF24E3" w:rsidRDefault="00437FDA">
      <w:pPr>
        <w:pStyle w:val="Ttulo2"/>
        <w:rPr>
          <w:color w:val="auto"/>
        </w:rPr>
      </w:pPr>
      <w:r w:rsidRPr="00AF24E3">
        <w:rPr>
          <w:color w:val="auto"/>
        </w:rPr>
        <w:t>2.2 La oposición clave: monje vs. intelectual urbano</w:t>
      </w:r>
    </w:p>
    <w:p w14:paraId="207DBFAF" w14:textId="77777777" w:rsidR="009A1405" w:rsidRPr="00AF24E3" w:rsidRDefault="00437FDA">
      <w:pPr>
        <w:spacing w:before="60" w:after="120" w:line="280" w:lineRule="auto"/>
        <w:jc w:val="both"/>
      </w:pPr>
      <w:r w:rsidRPr="00AF24E3">
        <w:t xml:space="preserve">La contraposición que Le Goff establece entre el clérigo monástico y el intelectual </w:t>
      </w:r>
      <w:r w:rsidRPr="00AF24E3">
        <w:t xml:space="preserve">urbano no es simplemente una oposición entre dos estilos de vida: es una oposición entre dos concepciones del saber. El monje atesora el conocimiento para la contemplación y la salvación; considera que la sabiduría debe ser </w:t>
      </w:r>
      <w:r w:rsidRPr="00AF24E3">
        <w:rPr>
          <w:b/>
          <w:bCs/>
        </w:rPr>
        <w:t>guardada</w:t>
      </w:r>
      <w:r w:rsidRPr="00AF24E3">
        <w:t>, no divulgada, porque e</w:t>
      </w:r>
      <w:r w:rsidRPr="00AF24E3">
        <w:t xml:space="preserve">l mundo es un lugar de tentaciones y el saber puede inflamar el orgullo. El intelectual urbano, en cambio, está convencido de que el saber </w:t>
      </w:r>
      <w:r w:rsidRPr="00AF24E3">
        <w:rPr>
          <w:b/>
          <w:bCs/>
        </w:rPr>
        <w:t>debe circular</w:t>
      </w:r>
      <w:r w:rsidRPr="00AF24E3">
        <w:t>, de que la ciencia no guardada es ciencia desperdiciada, de que enseñar es una obligación no menos sagr</w:t>
      </w:r>
      <w:r w:rsidRPr="00AF24E3">
        <w:t>ada que aprender.</w:t>
      </w:r>
    </w:p>
    <w:p w14:paraId="188463E3" w14:textId="77777777" w:rsidR="009A1405" w:rsidRPr="00AF24E3" w:rsidRDefault="00437FDA">
      <w:pPr>
        <w:spacing w:before="60" w:after="120" w:line="280" w:lineRule="auto"/>
        <w:jc w:val="both"/>
      </w:pPr>
      <w:r w:rsidRPr="00AF24E3">
        <w:t xml:space="preserve">Le Goff cita la formulación de Honorio de Autun, que sintetiza el espíritu del siglo XII con la precisión de un proverbio: </w:t>
      </w:r>
      <w:r w:rsidRPr="00AF24E3">
        <w:rPr>
          <w:b/>
          <w:bCs/>
        </w:rPr>
        <w:t>«El exilio del hombre es la ignorancia; su patria es la ciencia»</w:t>
      </w:r>
      <w:r w:rsidRPr="00AF24E3">
        <w:t xml:space="preserve">. Frente al espiritualismo monástico que «reclamó, </w:t>
      </w:r>
      <w:r w:rsidRPr="00AF24E3">
        <w:t>en el seno mismo de Occidente, el retorno al misticismo de oriente», los intelectuales de las ciudades «van a apartar al Occidente de los espejismos de otra Asia y de otra África, los espejismos del bosque y del desierto místicos» (Le Goff, 2008, p. 38). L</w:t>
      </w:r>
      <w:r w:rsidRPr="00AF24E3">
        <w:t xml:space="preserve">a tensión entre el saber contemplativo y el saber activo, entre la </w:t>
      </w:r>
      <w:r w:rsidRPr="00AF24E3">
        <w:rPr>
          <w:i/>
          <w:iCs/>
          <w:sz w:val="21"/>
          <w:szCs w:val="21"/>
        </w:rPr>
        <w:t>vita contemplativa</w:t>
      </w:r>
      <w:r w:rsidRPr="00AF24E3">
        <w:t xml:space="preserve"> y la </w:t>
      </w:r>
      <w:r w:rsidRPr="00AF24E3">
        <w:rPr>
          <w:i/>
          <w:iCs/>
          <w:sz w:val="21"/>
          <w:szCs w:val="21"/>
        </w:rPr>
        <w:t>vita activa</w:t>
      </w:r>
      <w:r w:rsidRPr="00AF24E3">
        <w:t>, es la tensión constitutiva de la cultura intelectual medieval. Y el siglo XII es el momento en que esa tensión se vuelve productiva —y explosiva.</w:t>
      </w:r>
    </w:p>
    <w:p w14:paraId="51BB9B0F" w14:textId="77777777" w:rsidR="009A1405" w:rsidRPr="00AF24E3" w:rsidRDefault="00437FDA">
      <w:pPr>
        <w:spacing w:before="60" w:after="120" w:line="280" w:lineRule="auto"/>
        <w:jc w:val="both"/>
      </w:pPr>
      <w:r w:rsidRPr="00AF24E3">
        <w:lastRenderedPageBreak/>
        <w:t>Esta d</w:t>
      </w:r>
      <w:r w:rsidRPr="00AF24E3">
        <w:t xml:space="preserve">ialéctica se expresa de manera especialmente nítida en la figura del </w:t>
      </w:r>
      <w:r w:rsidRPr="00AF24E3">
        <w:rPr>
          <w:b/>
          <w:bCs/>
        </w:rPr>
        <w:t>goliardo</w:t>
      </w:r>
      <w:r w:rsidRPr="00AF24E3">
        <w:t>, que Le Goff coloca como el negativo fotográfico del intelectual institucionalizado. Los goliardos eran estudiantes pobres, clérigos sin prebenda, errabundos intelectuales que «e</w:t>
      </w:r>
      <w:r w:rsidRPr="00AF24E3">
        <w:t xml:space="preserve">scapaban a las estructuras sociales» y cuya poesía —los </w:t>
      </w:r>
      <w:r w:rsidRPr="00AF24E3">
        <w:rPr>
          <w:i/>
          <w:iCs/>
        </w:rPr>
        <w:t>Carmina Burana</w:t>
      </w:r>
      <w:r w:rsidRPr="00AF24E3">
        <w:t xml:space="preserve"> son su colección más famosa— fustigaba la simonía, la hipocresía eclesiástica y las pretensiones del poder clerical. Su movilidad era tanto geográfica como social: seguían al maestro qu</w:t>
      </w:r>
      <w:r w:rsidRPr="00AF24E3">
        <w:t>e les gustaba y pasaban de ciudad en ciudad difundiendo sus enseñanzas. «Esos estudiantes pobres que no tienen domicilio fijo, que no gozan de ninguna prebenda ni beneficio, se lanzan a la aventura intelectual» (Le Goff, 2008, p. 43). Desaparecerán en el s</w:t>
      </w:r>
      <w:r w:rsidRPr="00AF24E3">
        <w:t>iglo XIII: la fijación del movimiento intelectual en las universidades terminará por hacer imposible su modo de vida.</w:t>
      </w:r>
    </w:p>
    <w:p w14:paraId="30CADECF" w14:textId="77777777" w:rsidR="009A1405" w:rsidRPr="00AF24E3" w:rsidRDefault="00437FDA">
      <w:pPr>
        <w:pStyle w:val="Ttulo2"/>
        <w:rPr>
          <w:color w:val="auto"/>
        </w:rPr>
      </w:pPr>
      <w:r w:rsidRPr="00AF24E3">
        <w:rPr>
          <w:color w:val="auto"/>
        </w:rPr>
        <w:t>2.3 El proceso histórico: de las escuelas a las universidades</w:t>
      </w:r>
    </w:p>
    <w:p w14:paraId="77C6F24E" w14:textId="77777777" w:rsidR="009A1405" w:rsidRPr="00AF24E3" w:rsidRDefault="00437FDA">
      <w:pPr>
        <w:spacing w:before="60" w:after="120" w:line="280" w:lineRule="auto"/>
        <w:jc w:val="both"/>
      </w:pPr>
      <w:r w:rsidRPr="00AF24E3">
        <w:t>Le Goff traza el proceso en términos que conviene retener: el intelectual me</w:t>
      </w:r>
      <w:r w:rsidRPr="00AF24E3">
        <w:t>dieval «se anuncia en la Alta Edad Media, se desarrolla en las escuelas urbanas del siglo XII y florece en el siglo XIII en las universidades». Esta periodización no es lineal ni tranquila. Cada etapa implica una reconfiguración del tipo social. En la Alta</w:t>
      </w:r>
      <w:r w:rsidRPr="00AF24E3">
        <w:t xml:space="preserve"> Edad Media, el maestro es fundamentalmente un </w:t>
      </w:r>
      <w:r w:rsidRPr="00AF24E3">
        <w:rPr>
          <w:b/>
          <w:bCs/>
        </w:rPr>
        <w:t>obispo</w:t>
      </w:r>
      <w:r w:rsidRPr="00AF24E3">
        <w:t xml:space="preserve"> o un </w:t>
      </w:r>
      <w:r w:rsidRPr="00AF24E3">
        <w:rPr>
          <w:b/>
          <w:bCs/>
        </w:rPr>
        <w:t>abad</w:t>
      </w:r>
      <w:r w:rsidRPr="00AF24E3">
        <w:t xml:space="preserve">: un líder institucional que enseña como parte de su función pastoral. En las escuelas urbanas del siglo XII, comienza a aparecer la figura del maestro que enseña por su cuenta, que obtiene de </w:t>
      </w:r>
      <w:r w:rsidRPr="00AF24E3">
        <w:t xml:space="preserve">la enseñanza su sustento, que depende del número de sus alumnos. En las universidades del siglo XIII, ese maestro se corporativiza: forma con sus colegas una </w:t>
      </w:r>
      <w:r w:rsidRPr="00AF24E3">
        <w:rPr>
          <w:i/>
          <w:iCs/>
          <w:sz w:val="21"/>
          <w:szCs w:val="21"/>
        </w:rPr>
        <w:t>universitas</w:t>
      </w:r>
      <w:r w:rsidRPr="00AF24E3">
        <w:t>, negocia colectivamente sus privilegios con el papa y el rey, obtiene el derecho de ot</w:t>
      </w:r>
      <w:r w:rsidRPr="00AF24E3">
        <w:t>orgar grados reconocidos en todo el Occidente cristiano.</w:t>
      </w:r>
    </w:p>
    <w:p w14:paraId="6F6731BF" w14:textId="77777777" w:rsidR="009A1405" w:rsidRPr="00AF24E3" w:rsidRDefault="00437FDA">
      <w:pPr>
        <w:pStyle w:val="Ttulo1"/>
        <w:rPr>
          <w:color w:val="auto"/>
        </w:rPr>
      </w:pPr>
      <w:r w:rsidRPr="00AF24E3">
        <w:rPr>
          <w:color w:val="auto"/>
        </w:rPr>
        <w:t>III. Tres Figuras del Intelectual Medieval</w:t>
      </w:r>
    </w:p>
    <w:p w14:paraId="0493B835" w14:textId="77777777" w:rsidR="009A1405" w:rsidRPr="00AF24E3" w:rsidRDefault="00437FDA">
      <w:pPr>
        <w:pStyle w:val="Ttulo2"/>
        <w:rPr>
          <w:color w:val="auto"/>
        </w:rPr>
      </w:pPr>
      <w:r w:rsidRPr="00AF24E3">
        <w:rPr>
          <w:color w:val="auto"/>
        </w:rPr>
        <w:t>3.1 Bernardo de Chartres y los enanos en hombros de gigantes</w:t>
      </w:r>
    </w:p>
    <w:p w14:paraId="6C5AEE17" w14:textId="77777777" w:rsidR="009A1405" w:rsidRPr="00AF24E3" w:rsidRDefault="00437FDA">
      <w:pPr>
        <w:spacing w:before="60" w:after="120" w:line="280" w:lineRule="auto"/>
        <w:jc w:val="both"/>
      </w:pPr>
      <w:r w:rsidRPr="00AF24E3">
        <w:t xml:space="preserve">El siglo XII produjo una galería de maestros cuya reputación no dependía de la institución que los cobijaba sino de la fuerza de su pensamiento y de la cantidad de alumnos que se desplazaban para escucharlos. Entre todos ellos, </w:t>
      </w:r>
      <w:r w:rsidRPr="00AF24E3">
        <w:rPr>
          <w:b/>
          <w:bCs/>
        </w:rPr>
        <w:t>Bernardo de Chartres</w:t>
      </w:r>
      <w:r w:rsidRPr="00AF24E3">
        <w:t xml:space="preserve"> ocupa u</w:t>
      </w:r>
      <w:r w:rsidRPr="00AF24E3">
        <w:t xml:space="preserve">n lugar singular, no tanto por la originalidad de su filosofía —que en realidad conocemos mal, ya que casi nada de lo suyo ha llegado directamente a nosotros— sino por la imagen que su discípulo Juan de Salisbury le atribuye. Es la imagen de los </w:t>
      </w:r>
      <w:r w:rsidRPr="00AF24E3">
        <w:rPr>
          <w:b/>
          <w:bCs/>
        </w:rPr>
        <w:t xml:space="preserve">enanos en </w:t>
      </w:r>
      <w:r w:rsidRPr="00AF24E3">
        <w:rPr>
          <w:b/>
          <w:bCs/>
        </w:rPr>
        <w:t>hombros de gigantes</w:t>
      </w:r>
      <w:r w:rsidRPr="00AF24E3">
        <w:t xml:space="preserve">, que Le Goff identifica como la formulación más precisa del sentido del progreso intelectual en el siglo XII: «Somos enanos encaramados en los hombros de gigantes. De esta manera vemos más y más lejos que ellos, no porque nuestra vista </w:t>
      </w:r>
      <w:r w:rsidRPr="00AF24E3">
        <w:t>sea más aguda o nuestra estatura más alta, sino porque ellos nos sostienen en el aire y nos elevan con toda su altura gigantesca» (Le Goff, 2008, citando a Juan de Salisbury).</w:t>
      </w:r>
    </w:p>
    <w:p w14:paraId="4EDC8471" w14:textId="77777777" w:rsidR="009A1405" w:rsidRPr="00AF24E3" w:rsidRDefault="00437FDA">
      <w:pPr>
        <w:spacing w:before="60" w:after="120" w:line="280" w:lineRule="auto"/>
        <w:jc w:val="both"/>
      </w:pPr>
      <w:r w:rsidRPr="00AF24E3">
        <w:t>La metáfora es aparentemente una expresión de humildad: reconocemos que los anti</w:t>
      </w:r>
      <w:r w:rsidRPr="00AF24E3">
        <w:t xml:space="preserve">guos son más grandes que nosotros. Pero en realidad es una declaración de </w:t>
      </w:r>
      <w:r w:rsidRPr="00AF24E3">
        <w:rPr>
          <w:b/>
          <w:bCs/>
        </w:rPr>
        <w:t xml:space="preserve">confianza en el progreso </w:t>
      </w:r>
      <w:r w:rsidRPr="00AF24E3">
        <w:rPr>
          <w:b/>
          <w:bCs/>
        </w:rPr>
        <w:lastRenderedPageBreak/>
        <w:t>acumulativo del saber</w:t>
      </w:r>
      <w:r w:rsidRPr="00AF24E3">
        <w:t xml:space="preserve">. El enano </w:t>
      </w:r>
      <w:r w:rsidRPr="00AF24E3">
        <w:rPr>
          <w:i/>
          <w:iCs/>
        </w:rPr>
        <w:t>ve más lejos</w:t>
      </w:r>
      <w:r w:rsidRPr="00AF24E3">
        <w:t xml:space="preserve"> que el gigante, porque se ha sumado su altura a la de él. La herencia no es un peso muerto: es una plataforma de</w:t>
      </w:r>
      <w:r w:rsidRPr="00AF24E3">
        <w:t>sde la cual avanzar. Este era el sentido vivo que los maestros del siglo XII daban a la frase: la idea de que «hacer algo nuevo» era posible y deseable, que ser «hombres nuevos» era una aspiración legítima, no una arrogancia. Le Goff observa que este senti</w:t>
      </w:r>
      <w:r w:rsidRPr="00AF24E3">
        <w:t>miento —el de ser pioneros sin renegar de la tradición— es «el vivo sentimiento de los intelectuales del siglo XII» (Le Goff, 2008, p. 38).</w:t>
      </w:r>
    </w:p>
    <w:p w14:paraId="73F13DC6" w14:textId="77777777" w:rsidR="009A1405" w:rsidRPr="00AF24E3" w:rsidRDefault="00437FDA">
      <w:pPr>
        <w:pStyle w:val="Ttulo2"/>
        <w:rPr>
          <w:color w:val="auto"/>
        </w:rPr>
      </w:pPr>
      <w:r w:rsidRPr="00AF24E3">
        <w:rPr>
          <w:color w:val="auto"/>
        </w:rPr>
        <w:t>3.2 Pedro Abelardo: el primer profesor moderno</w:t>
      </w:r>
    </w:p>
    <w:p w14:paraId="755211D8" w14:textId="77777777" w:rsidR="009A1405" w:rsidRPr="00AF24E3" w:rsidRDefault="00437FDA">
      <w:pPr>
        <w:spacing w:before="60" w:after="120" w:line="280" w:lineRule="auto"/>
        <w:jc w:val="both"/>
      </w:pPr>
      <w:r w:rsidRPr="00AF24E3">
        <w:t>Si Bernardo de Chartres representa la figura del maestro que transmit</w:t>
      </w:r>
      <w:r w:rsidRPr="00AF24E3">
        <w:t xml:space="preserve">e sabiduría con humildad y elegancia, </w:t>
      </w:r>
      <w:r w:rsidRPr="00AF24E3">
        <w:rPr>
          <w:b/>
          <w:bCs/>
        </w:rPr>
        <w:t>Pedro Abelardo</w:t>
      </w:r>
      <w:r w:rsidRPr="00AF24E3">
        <w:t xml:space="preserve"> (1079-1142) representa su exacto contrapunto: el maestro que </w:t>
      </w:r>
      <w:r w:rsidRPr="00AF24E3">
        <w:rPr>
          <w:b/>
          <w:bCs/>
        </w:rPr>
        <w:t>destruye para construir</w:t>
      </w:r>
      <w:r w:rsidRPr="00AF24E3">
        <w:t>, que no acepta ninguna autoridad que no haya pasado por el filtro de su propia razón. Le Goff lo llama «la primera gra</w:t>
      </w:r>
      <w:r w:rsidRPr="00AF24E3">
        <w:t>n figura de intelectual moderno, el primer profesor» (Le Goff, 2008). La elección del adjetivo «moderno» no es casual: Abelardo anticipa, en el siglo XII, una figura que la modernidad tardará siglos en formalizar.</w:t>
      </w:r>
    </w:p>
    <w:p w14:paraId="297ABD13" w14:textId="77777777" w:rsidR="009A1405" w:rsidRPr="00AF24E3" w:rsidRDefault="00437FDA">
      <w:pPr>
        <w:spacing w:before="60" w:after="120" w:line="280" w:lineRule="auto"/>
        <w:jc w:val="both"/>
      </w:pPr>
      <w:r w:rsidRPr="00AF24E3">
        <w:t>La escena fundacional de la carrera de Abe</w:t>
      </w:r>
      <w:r w:rsidRPr="00AF24E3">
        <w:t xml:space="preserve">lardo —narrada por él mismo en su autobiografía </w:t>
      </w:r>
      <w:r w:rsidRPr="00AF24E3">
        <w:rPr>
          <w:i/>
          <w:iCs/>
        </w:rPr>
        <w:t>Historia calamitatum</w:t>
      </w:r>
      <w:r w:rsidRPr="00AF24E3">
        <w:t xml:space="preserve">— es la de su llegada a París siendo un desconocido y su transformación, en pocos años, en el profesor más concurrido de la ciudad, tras haber forzado a </w:t>
      </w:r>
      <w:r w:rsidRPr="00AF24E3">
        <w:rPr>
          <w:b/>
          <w:bCs/>
        </w:rPr>
        <w:t>Guillermo de Champeaux</w:t>
      </w:r>
      <w:r w:rsidRPr="00AF24E3">
        <w:t xml:space="preserve">, uno de los </w:t>
      </w:r>
      <w:r w:rsidRPr="00AF24E3">
        <w:t xml:space="preserve">maestros más influyentes de Europa, a retractarse públicamente. La reputación de Abelardo no estaba respaldada por ninguna institución: la construyó mediante la brillantez de sus argumentos y la ferocidad de su polémica. Su método era la </w:t>
      </w:r>
      <w:r w:rsidRPr="00AF24E3">
        <w:rPr>
          <w:b/>
          <w:bCs/>
        </w:rPr>
        <w:t>contradicción</w:t>
      </w:r>
      <w:r w:rsidRPr="00AF24E3">
        <w:t xml:space="preserve">: no </w:t>
      </w:r>
      <w:r w:rsidRPr="00AF24E3">
        <w:t>se conformaba con escuchar —interrumpía, criticaba, demostraba que la posición del maestro era incoherente.</w:t>
      </w:r>
    </w:p>
    <w:p w14:paraId="7803DE94" w14:textId="77777777" w:rsidR="009A1405" w:rsidRPr="00AF24E3" w:rsidRDefault="00437FDA">
      <w:pPr>
        <w:spacing w:before="60" w:after="120" w:line="280" w:lineRule="auto"/>
        <w:jc w:val="both"/>
      </w:pPr>
      <w:r w:rsidRPr="00AF24E3">
        <w:t xml:space="preserve">El retrato que Abelardo hace de su maestro Anselmo de Laon —a quien después estudiaría teología— es una obra maestra de la polémica intelectual sin </w:t>
      </w:r>
      <w:r w:rsidRPr="00AF24E3">
        <w:t xml:space="preserve">concesiones: «Me acerqué pues a ese anciano que debía su reputación más a sus muchos años que a su talento o a su cultura. Todos los que lo abordaban en busca de su opinión sobre un asunto en que se sentían inseguros se marchaban más inseguros aún. [...]  </w:t>
      </w:r>
      <w:r w:rsidRPr="00AF24E3">
        <w:t>Su llama llena de humo toda la casa en lugar de iluminarla. Desde lejos su árbol copioso follaje atraía las miradas, pero cuando se lo miraba de más cerca [...] ese árbol no tenía frutos». La crueldad del juicio es intelectualmente irresistible porque es p</w:t>
      </w:r>
      <w:r w:rsidRPr="00AF24E3">
        <w:t xml:space="preserve">recisa: distingue la </w:t>
      </w:r>
      <w:r w:rsidRPr="00AF24E3">
        <w:rPr>
          <w:i/>
          <w:iCs/>
        </w:rPr>
        <w:t>fama</w:t>
      </w:r>
      <w:r w:rsidRPr="00AF24E3">
        <w:t xml:space="preserve"> —que es social— del </w:t>
      </w:r>
      <w:r w:rsidRPr="00AF24E3">
        <w:rPr>
          <w:i/>
          <w:iCs/>
        </w:rPr>
        <w:t>talento</w:t>
      </w:r>
      <w:r w:rsidRPr="00AF24E3">
        <w:t xml:space="preserve"> —que es intelectual—, y sostiene que Anselmo tiene la primera sin poseer el segundo.</w:t>
      </w:r>
    </w:p>
    <w:p w14:paraId="6D11A477" w14:textId="77777777" w:rsidR="009A1405" w:rsidRPr="00AF24E3" w:rsidRDefault="00437FDA">
      <w:pPr>
        <w:spacing w:before="60" w:after="120" w:line="280" w:lineRule="auto"/>
        <w:jc w:val="both"/>
      </w:pPr>
      <w:r w:rsidRPr="00AF24E3">
        <w:t xml:space="preserve">Pero Abelardo no era solo un demoledor. Su obra </w:t>
      </w:r>
      <w:r w:rsidRPr="00AF24E3">
        <w:rPr>
          <w:i/>
          <w:iCs/>
        </w:rPr>
        <w:t>Sic et non</w:t>
      </w:r>
      <w:r w:rsidRPr="00AF24E3">
        <w:t xml:space="preserve"> —«Así y no»— es el primer ejemplo sistemático de aplicació</w:t>
      </w:r>
      <w:r w:rsidRPr="00AF24E3">
        <w:t xml:space="preserve">n de la dialéctica al estudio de la teología: recoge 158 proposiciones teológicas y confronta para cada una los textos de los Padres de la Iglesia que las afirman y los que las niegan, sin resolver la contradicción. El propósito no era escandalizar sino </w:t>
      </w:r>
      <w:r w:rsidRPr="00AF24E3">
        <w:rPr>
          <w:b/>
          <w:bCs/>
        </w:rPr>
        <w:t>me</w:t>
      </w:r>
      <w:r w:rsidRPr="00AF24E3">
        <w:rPr>
          <w:b/>
          <w:bCs/>
        </w:rPr>
        <w:t>todológico</w:t>
      </w:r>
      <w:r w:rsidRPr="00AF24E3">
        <w:t>: demostrar que las contradicciones en la tradición exigen el ejercicio del razonamiento para ser resueltas. «No tenía la costumbre de recurrir a la tradición —decía de sí mismo—, sino que recurría a mi propio espíritu». Esta frase, más que cualq</w:t>
      </w:r>
      <w:r w:rsidRPr="00AF24E3">
        <w:t xml:space="preserve">uier otra, define </w:t>
      </w:r>
      <w:r w:rsidRPr="00AF24E3">
        <w:lastRenderedPageBreak/>
        <w:t>la especificidad histórica de Abelardo: fue el primero en formular la autonomía del intelecto individual como criterio de legitimidad intelectual.</w:t>
      </w:r>
    </w:p>
    <w:p w14:paraId="54593E86" w14:textId="77777777" w:rsidR="009A1405" w:rsidRPr="00AF24E3" w:rsidRDefault="00437FDA">
      <w:pPr>
        <w:pBdr>
          <w:left w:val="single" w:sz="8" w:space="0" w:color="7B1C35"/>
        </w:pBdr>
        <w:spacing w:before="140" w:after="140" w:line="280" w:lineRule="auto"/>
        <w:ind w:left="800" w:right="800"/>
        <w:jc w:val="both"/>
      </w:pPr>
      <w:r w:rsidRPr="00AF24E3">
        <w:rPr>
          <w:i/>
          <w:iCs/>
          <w:sz w:val="20"/>
          <w:szCs w:val="20"/>
        </w:rPr>
        <w:t>«Sin duda, antes de la época contemporánea, el intelectual nunca tuvo tan bien delimitado n</w:t>
      </w:r>
      <w:r w:rsidRPr="00AF24E3">
        <w:rPr>
          <w:i/>
          <w:iCs/>
          <w:sz w:val="20"/>
          <w:szCs w:val="20"/>
        </w:rPr>
        <w:t>i tuvo tanta conciencia de sí mismo como en la Edad Media.»</w:t>
      </w:r>
      <w:r w:rsidRPr="00AF24E3">
        <w:rPr>
          <w:sz w:val="18"/>
          <w:szCs w:val="18"/>
        </w:rPr>
        <w:t>— Jacques Le Goff, Los intelectuales en la Edad Media (2008), p. 23</w:t>
      </w:r>
    </w:p>
    <w:p w14:paraId="0025FD78" w14:textId="77777777" w:rsidR="009A1405" w:rsidRPr="00AF24E3" w:rsidRDefault="00437FDA">
      <w:pPr>
        <w:pStyle w:val="Ttulo2"/>
        <w:rPr>
          <w:color w:val="auto"/>
        </w:rPr>
      </w:pPr>
      <w:r w:rsidRPr="00AF24E3">
        <w:rPr>
          <w:color w:val="auto"/>
        </w:rPr>
        <w:t>3.3 Los traductores: intelectuales entre mundos</w:t>
      </w:r>
    </w:p>
    <w:p w14:paraId="0193D916" w14:textId="77777777" w:rsidR="009A1405" w:rsidRPr="00AF24E3" w:rsidRDefault="00437FDA">
      <w:pPr>
        <w:spacing w:before="60" w:after="120" w:line="280" w:lineRule="auto"/>
        <w:jc w:val="both"/>
      </w:pPr>
      <w:r w:rsidRPr="00AF24E3">
        <w:t>Le Goff dedica un lugar específico en su cartografía del intelectual medieval a los traductores, que constituyen un tipo sociológico propio: son figuras de la mediación cultural, hombres que operan en el espacio de contacto entre lenguas y tradiciones, que</w:t>
      </w:r>
      <w:r w:rsidRPr="00AF24E3">
        <w:t xml:space="preserve"> producen saber no a través de la especulación sino a través de la </w:t>
      </w:r>
      <w:r w:rsidRPr="00AF24E3">
        <w:rPr>
          <w:b/>
          <w:bCs/>
        </w:rPr>
        <w:t>transferencia</w:t>
      </w:r>
      <w:r w:rsidRPr="00AF24E3">
        <w:t>. El gran movimiento de traducciones del árabe y del griego al latín que se produjo en la Península Ibérica y en el sur de Italia durante el siglo XII no fue un fenómeno espont</w:t>
      </w:r>
      <w:r w:rsidRPr="00AF24E3">
        <w:t>áneo: respondía a una demanda intelectual real y estaba organizado en redes de trabajo colaborativo que combinaban saberes lingüísticos y disciplinares.</w:t>
      </w:r>
    </w:p>
    <w:p w14:paraId="31CA75EA" w14:textId="77777777" w:rsidR="009A1405" w:rsidRPr="00AF24E3" w:rsidRDefault="00437FDA">
      <w:pPr>
        <w:spacing w:before="60" w:after="120" w:line="280" w:lineRule="auto"/>
        <w:jc w:val="both"/>
      </w:pPr>
      <w:r w:rsidRPr="00AF24E3">
        <w:t>Pedro el Venerable, abad de Cluny, que viajó en 1142 a los reinos hispanos en busca de fuentes musulman</w:t>
      </w:r>
      <w:r w:rsidRPr="00AF24E3">
        <w:t>as y judías, encargó traducciones del Corán y otros textos islámicos con un propósito específicamente intelectual: no combatir a los musulmanes en el terreno militar sino en el terreno de las ideas. Los traductores, señala Le Goff, estaban motivados por el</w:t>
      </w:r>
      <w:r w:rsidRPr="00AF24E3">
        <w:t xml:space="preserve"> deseo de «llenar las lagunas que dejó la herencia latina en la cultura occidental» y por un «interés científico» que no es reducible a la utilidad inmediata. La frase de Juan de Salisbury citada antes sobre los enanos en hombros de gigantes tiene aquí su </w:t>
      </w:r>
      <w:r w:rsidRPr="00AF24E3">
        <w:t>contraparte práctica: los traductores eran los que hacían posible que el enano trepara al hombro del gigante árabe y griego.</w:t>
      </w:r>
    </w:p>
    <w:p w14:paraId="2C24A0CE" w14:textId="77777777" w:rsidR="009A1405" w:rsidRPr="00AF24E3" w:rsidRDefault="00437FDA">
      <w:pPr>
        <w:pStyle w:val="Ttulo1"/>
        <w:rPr>
          <w:color w:val="auto"/>
        </w:rPr>
      </w:pPr>
      <w:r w:rsidRPr="00AF24E3">
        <w:rPr>
          <w:color w:val="auto"/>
        </w:rPr>
        <w:t>IV. Chartres: Naturalismo, Homo Faber y Humanismo del Siglo XII</w:t>
      </w:r>
    </w:p>
    <w:p w14:paraId="474373D7" w14:textId="77777777" w:rsidR="009A1405" w:rsidRPr="00AF24E3" w:rsidRDefault="00437FDA">
      <w:pPr>
        <w:pStyle w:val="Ttulo2"/>
        <w:rPr>
          <w:color w:val="auto"/>
        </w:rPr>
      </w:pPr>
      <w:r w:rsidRPr="00AF24E3">
        <w:rPr>
          <w:color w:val="auto"/>
        </w:rPr>
        <w:t>4.1 Chartres como excepción y como programa</w:t>
      </w:r>
    </w:p>
    <w:p w14:paraId="0A47E45B" w14:textId="77777777" w:rsidR="009A1405" w:rsidRPr="00AF24E3" w:rsidRDefault="00437FDA">
      <w:pPr>
        <w:spacing w:before="60" w:after="120" w:line="280" w:lineRule="auto"/>
        <w:jc w:val="both"/>
      </w:pPr>
      <w:r w:rsidRPr="00AF24E3">
        <w:t>Las notas sobre la esc</w:t>
      </w:r>
      <w:r w:rsidRPr="00AF24E3">
        <w:t xml:space="preserve">uela de Chartres que forman parte del corpus de este documento identifican a </w:t>
      </w:r>
      <w:r w:rsidRPr="00AF24E3">
        <w:rPr>
          <w:b/>
          <w:bCs/>
        </w:rPr>
        <w:t>Chartres</w:t>
      </w:r>
      <w:r w:rsidRPr="00AF24E3">
        <w:t xml:space="preserve"> como «el gran centro científico del siglo XII» —y la calificación importa precisamente porque es excepcional. Mientras la mayoría de las escuelas del período cultivaban e</w:t>
      </w:r>
      <w:r w:rsidRPr="00AF24E3">
        <w:t xml:space="preserve">l </w:t>
      </w:r>
      <w:r w:rsidRPr="00AF24E3">
        <w:rPr>
          <w:i/>
          <w:iCs/>
          <w:sz w:val="21"/>
          <w:szCs w:val="21"/>
        </w:rPr>
        <w:t>trivium</w:t>
      </w:r>
      <w:r w:rsidRPr="00AF24E3">
        <w:t xml:space="preserve"> con énfasis en la gramática y la exégesis bíblica, Chartres desarrolló un énfasis específico en el estudio de las </w:t>
      </w:r>
      <w:r w:rsidRPr="00AF24E3">
        <w:rPr>
          <w:i/>
          <w:iCs/>
        </w:rPr>
        <w:t>res</w:t>
      </w:r>
      <w:r w:rsidRPr="00AF24E3">
        <w:t xml:space="preserve"> —las cosas, el mundo físico— que son el objeto del </w:t>
      </w:r>
      <w:r w:rsidRPr="00AF24E3">
        <w:rPr>
          <w:i/>
          <w:iCs/>
          <w:sz w:val="21"/>
          <w:szCs w:val="21"/>
        </w:rPr>
        <w:t>quadrivium</w:t>
      </w:r>
      <w:r w:rsidRPr="00AF24E3">
        <w:t xml:space="preserve">. El maestro descollante de la escuela, </w:t>
      </w:r>
      <w:r w:rsidRPr="00AF24E3">
        <w:rPr>
          <w:b/>
          <w:bCs/>
        </w:rPr>
        <w:t>Bernardo de Chartres</w:t>
      </w:r>
      <w:r w:rsidRPr="00AF24E3">
        <w:t>, «desa</w:t>
      </w:r>
      <w:r w:rsidRPr="00AF24E3">
        <w:t>rrolló no el estudio de las voces, sino el de la res». Esta orientación, que los propios apuntes califican como característica de una «mentalidad científica moderna», es única en su época.</w:t>
      </w:r>
    </w:p>
    <w:p w14:paraId="49E44728" w14:textId="77777777" w:rsidR="009A1405" w:rsidRPr="00AF24E3" w:rsidRDefault="00437FDA">
      <w:pPr>
        <w:spacing w:before="60" w:after="120" w:line="280" w:lineRule="auto"/>
        <w:jc w:val="both"/>
      </w:pPr>
      <w:r w:rsidRPr="00AF24E3">
        <w:lastRenderedPageBreak/>
        <w:t xml:space="preserve">El espíritu de Chartres era, ante todo, un </w:t>
      </w:r>
      <w:r w:rsidRPr="00AF24E3">
        <w:rPr>
          <w:b/>
          <w:bCs/>
        </w:rPr>
        <w:t>espíritu de curiosidad</w:t>
      </w:r>
      <w:r w:rsidRPr="00AF24E3">
        <w:t xml:space="preserve"> —</w:t>
      </w:r>
      <w:r w:rsidRPr="00AF24E3">
        <w:t>de observación de la naturaleza y de investigación— que se desarrollaba más de tres siglos antes de Galileo, de Kepler, de Tycho Brahe. La ciencia greco-árabe, que comenzaba a llegar a través de las traducciones ibéricas e italianas, tuvo mucho que ver con</w:t>
      </w:r>
      <w:r w:rsidRPr="00AF24E3">
        <w:t xml:space="preserve"> esta inspiración. El divulgador científico Honorio de Autun sintetizó el impulso de los maestros de Chartres en una sentencia que los apuntes reproducen y que merece ser citada por su belleza: </w:t>
      </w:r>
      <w:r w:rsidRPr="00AF24E3">
        <w:rPr>
          <w:b/>
          <w:bCs/>
        </w:rPr>
        <w:t>«El exilio del hombre es la ignorancia; su patria es la cienci</w:t>
      </w:r>
      <w:r w:rsidRPr="00AF24E3">
        <w:rPr>
          <w:b/>
          <w:bCs/>
        </w:rPr>
        <w:t>a»</w:t>
      </w:r>
      <w:r w:rsidRPr="00AF24E3">
        <w:t>. En una sola frase, una ontología del saber: el conocimiento no es un adorno de la existencia sino su forma propia; el ignorante está en exilio, en sentido literal, fuera de sí mismo.</w:t>
      </w:r>
    </w:p>
    <w:p w14:paraId="50B82ABB" w14:textId="77777777" w:rsidR="009A1405" w:rsidRPr="00AF24E3" w:rsidRDefault="00437FDA">
      <w:pPr>
        <w:pStyle w:val="Ttulo2"/>
        <w:rPr>
          <w:color w:val="auto"/>
        </w:rPr>
      </w:pPr>
      <w:r w:rsidRPr="00AF24E3">
        <w:rPr>
          <w:color w:val="auto"/>
        </w:rPr>
        <w:t>4.2 El naturalismo chartrense: el mundo como cosmos racional</w:t>
      </w:r>
    </w:p>
    <w:p w14:paraId="6BDB91E2" w14:textId="77777777" w:rsidR="009A1405" w:rsidRPr="00AF24E3" w:rsidRDefault="00437FDA">
      <w:pPr>
        <w:spacing w:before="60" w:after="120" w:line="280" w:lineRule="auto"/>
        <w:jc w:val="both"/>
      </w:pPr>
      <w:r w:rsidRPr="00AF24E3">
        <w:t>El siglo</w:t>
      </w:r>
      <w:r w:rsidRPr="00AF24E3">
        <w:t xml:space="preserve"> XII fue, en palabras de las notas de Chartres, «un siglo de optimismo naturalista». Este optimismo se fundaba en dos convicciones que los chartrenses sostenían con convicción doctrinal. La primera: la </w:t>
      </w:r>
      <w:r w:rsidRPr="00AF24E3">
        <w:rPr>
          <w:b/>
          <w:bCs/>
        </w:rPr>
        <w:t>omnipotencia de la naturaleza</w:t>
      </w:r>
      <w:r w:rsidRPr="00AF24E3">
        <w:t xml:space="preserve"> —«una potencia fecundant</w:t>
      </w:r>
      <w:r w:rsidRPr="00AF24E3">
        <w:t xml:space="preserve">e, perpetuamente creadora de recursos inagotables». La segunda: la naturaleza como </w:t>
      </w:r>
      <w:r w:rsidRPr="00AF24E3">
        <w:rPr>
          <w:b/>
          <w:bCs/>
        </w:rPr>
        <w:t>cosmos</w:t>
      </w:r>
      <w:r w:rsidRPr="00AF24E3">
        <w:t xml:space="preserve"> —«un conjunto organizado y racional», «una urdimbre de leyes cuya existencia hace posible y necesaria una ciencia racional del universo».</w:t>
      </w:r>
    </w:p>
    <w:p w14:paraId="76001539" w14:textId="77777777" w:rsidR="009A1405" w:rsidRPr="00AF24E3" w:rsidRDefault="00437FDA">
      <w:pPr>
        <w:spacing w:before="60" w:after="120" w:line="280" w:lineRule="auto"/>
        <w:jc w:val="both"/>
      </w:pPr>
      <w:r w:rsidRPr="00AF24E3">
        <w:t>La consecuencia teológica de</w:t>
      </w:r>
      <w:r w:rsidRPr="00AF24E3">
        <w:t xml:space="preserve"> estas premisas era inquietante: si la naturaleza tiene sus propias leyes racionales, ¿cuál es el margen de la intervención divina? Los chartrenses resolvieron la tensión de manera ingeniosa: Dios, al crear la naturaleza, le otorgó leyes y las respeta. Su </w:t>
      </w:r>
      <w:r w:rsidRPr="00AF24E3">
        <w:t xml:space="preserve">omnipotencia no es contraria al determinismo; el milagro se produce </w:t>
      </w:r>
      <w:r w:rsidRPr="00AF24E3">
        <w:rPr>
          <w:i/>
          <w:iCs/>
        </w:rPr>
        <w:t>en el interior del orden natural</w:t>
      </w:r>
      <w:r w:rsidRPr="00AF24E3">
        <w:t xml:space="preserve">, no como ruptura arbitraria del mismo. Esta posición implicaba, en los hechos, una </w:t>
      </w:r>
      <w:r w:rsidRPr="00AF24E3">
        <w:rPr>
          <w:b/>
          <w:bCs/>
        </w:rPr>
        <w:t>desacralización de la naturaleza</w:t>
      </w:r>
      <w:r w:rsidRPr="00AF24E3">
        <w:t xml:space="preserve">: si la naturaleza funciona según leyes </w:t>
      </w:r>
      <w:r w:rsidRPr="00AF24E3">
        <w:t>propias, puede ser estudiada con instrumentos propios, sin necesidad de recurrir a la interpretación simbólica en cada paso. Era, como señalan los apuntes, «un prolegómeno necesario de toda ciencia, que el cristianismo había hecho posible desde el primer m</w:t>
      </w:r>
      <w:r w:rsidRPr="00AF24E3">
        <w:t>omento de su difusión al dejar de considerar la naturaleza, los astros y los fenómenos como dioses».</w:t>
      </w:r>
    </w:p>
    <w:p w14:paraId="6BE6C9A5" w14:textId="77777777" w:rsidR="009A1405" w:rsidRPr="00AF24E3" w:rsidRDefault="00437FDA">
      <w:pPr>
        <w:pStyle w:val="Ttulo2"/>
        <w:rPr>
          <w:color w:val="auto"/>
        </w:rPr>
      </w:pPr>
      <w:r w:rsidRPr="00AF24E3">
        <w:rPr>
          <w:color w:val="auto"/>
        </w:rPr>
        <w:t>4.3 El hombre microcosmo y el homo faber</w:t>
      </w:r>
    </w:p>
    <w:p w14:paraId="5D0AA919" w14:textId="77777777" w:rsidR="009A1405" w:rsidRPr="00AF24E3" w:rsidRDefault="00437FDA">
      <w:pPr>
        <w:spacing w:before="60" w:after="120" w:line="280" w:lineRule="auto"/>
        <w:jc w:val="both"/>
      </w:pPr>
      <w:r w:rsidRPr="00AF24E3">
        <w:t xml:space="preserve">El humanismo de Chartres no es una evasión del mundo sino una </w:t>
      </w:r>
      <w:r w:rsidRPr="00AF24E3">
        <w:rPr>
          <w:b/>
          <w:bCs/>
        </w:rPr>
        <w:t>recentración del mundo en torno al hombre</w:t>
      </w:r>
      <w:r w:rsidRPr="00AF24E3">
        <w:t>. Frente a la tesis tradicional —el hombre como accidente de la creación, un sustituto fortuito de los ángeles caídos—, Chartres opone la idea de que el hombre «siempre estuvo previsto en el plan del Creador y que el mundo fue creado precisamente para el h</w:t>
      </w:r>
      <w:r w:rsidRPr="00AF24E3">
        <w:t xml:space="preserve">ombre». Los chartrenses conciben al hombre ante todo como un </w:t>
      </w:r>
      <w:r w:rsidRPr="00AF24E3">
        <w:rPr>
          <w:b/>
          <w:bCs/>
        </w:rPr>
        <w:t>ser racional</w:t>
      </w:r>
      <w:r w:rsidRPr="00AF24E3">
        <w:t xml:space="preserve"> —y en esta racionalidad reside su dignidad, no en su sumisión pasiva a un orden trascendente.</w:t>
      </w:r>
    </w:p>
    <w:p w14:paraId="4D52D495" w14:textId="77777777" w:rsidR="009A1405" w:rsidRPr="00AF24E3" w:rsidRDefault="00437FDA">
      <w:pPr>
        <w:spacing w:before="60" w:after="120" w:line="280" w:lineRule="auto"/>
        <w:jc w:val="both"/>
      </w:pPr>
      <w:r w:rsidRPr="00AF24E3">
        <w:t xml:space="preserve">La tesis del hombre como </w:t>
      </w:r>
      <w:r w:rsidRPr="00AF24E3">
        <w:rPr>
          <w:b/>
          <w:bCs/>
        </w:rPr>
        <w:t>microcosmo</w:t>
      </w:r>
      <w:r w:rsidRPr="00AF24E3">
        <w:t xml:space="preserve"> —«analogía entre el mundo y el hombre, entre el megacosmos y ese universo en miniatura que es el hombre»— es una vieja imagen del pensamiento griego, presente en Aristóteles pero luego olvidada por considerarse pagana. Su recuperación en Chartres es filos</w:t>
      </w:r>
      <w:r w:rsidRPr="00AF24E3">
        <w:t xml:space="preserve">óficamente revolucionaria porque «obliga a reconsiderar al </w:t>
      </w:r>
      <w:r w:rsidRPr="00AF24E3">
        <w:lastRenderedPageBreak/>
        <w:t>hombre en su totalidad y en primer lugar con su cuerpo». El hombre no es solo alma; es también cuerpo que pertenece al orden natural. Esta mentalidad corrió a la par con el desarrollo de la medicin</w:t>
      </w:r>
      <w:r w:rsidRPr="00AF24E3">
        <w:t>a y la higiene.</w:t>
      </w:r>
    </w:p>
    <w:p w14:paraId="74716547" w14:textId="77777777" w:rsidR="009A1405" w:rsidRPr="00AF24E3" w:rsidRDefault="00437FDA">
      <w:pPr>
        <w:spacing w:before="60" w:after="120" w:line="280" w:lineRule="auto"/>
        <w:jc w:val="both"/>
      </w:pPr>
      <w:r w:rsidRPr="00AF24E3">
        <w:t xml:space="preserve">Pero la consecuencia más radical del naturalismo chartrense es la figura del </w:t>
      </w:r>
      <w:r w:rsidRPr="00AF24E3">
        <w:rPr>
          <w:i/>
          <w:iCs/>
          <w:sz w:val="21"/>
          <w:szCs w:val="21"/>
        </w:rPr>
        <w:t>homo faber</w:t>
      </w:r>
      <w:r w:rsidRPr="00AF24E3">
        <w:t xml:space="preserve">: el hombre que no solo conoce la naturaleza sino que la </w:t>
      </w:r>
      <w:r w:rsidRPr="00AF24E3">
        <w:rPr>
          <w:b/>
          <w:bCs/>
        </w:rPr>
        <w:t>transforma</w:t>
      </w:r>
      <w:r w:rsidRPr="00AF24E3">
        <w:t xml:space="preserve"> mediante su actividad. «La última palabra de este humanismo declara sin duda que el h</w:t>
      </w:r>
      <w:r w:rsidRPr="00AF24E3">
        <w:t>ombre, que es naturaleza, puede también transformarla mediante su actividad» (apuntes sobre Chartres, 68). Esta afirmación, en el contexto del siglo XII, tiene el peso de una declaración de independencia: el hombre no está en el mundo para contemplarlo des</w:t>
      </w:r>
      <w:r w:rsidRPr="00AF24E3">
        <w:t>de afuera, sino para trabajar dentro de él y rehacerlo. El intelectual del siglo XII, «situado en el centro del taller urbano, ve el universo a imagen de ese taller, una fábrica gigantesca en la que zumba el ruido de todos los oficios».</w:t>
      </w:r>
    </w:p>
    <w:p w14:paraId="305E6289" w14:textId="77777777" w:rsidR="009A1405" w:rsidRPr="00AF24E3" w:rsidRDefault="00437FDA">
      <w:pPr>
        <w:spacing w:before="60" w:after="120" w:line="280" w:lineRule="auto"/>
        <w:jc w:val="both"/>
      </w:pPr>
      <w:r w:rsidRPr="00AF24E3">
        <w:t>Honorio de Autun fu</w:t>
      </w:r>
      <w:r w:rsidRPr="00AF24E3">
        <w:t xml:space="preserve">e más lejos que sus contemporáneos cuando, a las siete artes liberales del sistema canónico, añadió en su lista de saberes la física, la mecánica y la economía. El saber ya no podía contenerse dentro de la rueda del </w:t>
      </w:r>
      <w:r w:rsidRPr="00AF24E3">
        <w:rPr>
          <w:i/>
          <w:iCs/>
        </w:rPr>
        <w:t>Hortus deliciarum</w:t>
      </w:r>
      <w:r w:rsidRPr="00AF24E3">
        <w:t>: desbordaba por los co</w:t>
      </w:r>
      <w:r w:rsidRPr="00AF24E3">
        <w:t>stados, en dirección al mundo de los objetos, de los intercambios, de los cuerpos. Tres siglos antes del Renacimiento, Chartres había formulado un humanismo que recuperaba al hombre en su dimensión activa, corporal y transformadora.</w:t>
      </w:r>
    </w:p>
    <w:p w14:paraId="529D8893" w14:textId="77777777" w:rsidR="009A1405" w:rsidRPr="00AF24E3" w:rsidRDefault="00437FDA">
      <w:pPr>
        <w:pStyle w:val="Ttulo1"/>
        <w:rPr>
          <w:color w:val="auto"/>
        </w:rPr>
      </w:pPr>
      <w:r w:rsidRPr="00AF24E3">
        <w:rPr>
          <w:color w:val="auto"/>
        </w:rPr>
        <w:t>V. El Debate Escolásti</w:t>
      </w:r>
      <w:r w:rsidRPr="00AF24E3">
        <w:rPr>
          <w:color w:val="auto"/>
        </w:rPr>
        <w:t>co: Fe, Razón y la Fractura del Orden</w:t>
      </w:r>
    </w:p>
    <w:p w14:paraId="411FCDAB" w14:textId="77777777" w:rsidR="009A1405" w:rsidRPr="00AF24E3" w:rsidRDefault="00437FDA">
      <w:pPr>
        <w:pStyle w:val="Ttulo2"/>
        <w:rPr>
          <w:color w:val="auto"/>
        </w:rPr>
      </w:pPr>
      <w:r w:rsidRPr="00AF24E3">
        <w:rPr>
          <w:color w:val="auto"/>
        </w:rPr>
        <w:t>5.1 La querella de los universales</w:t>
      </w:r>
    </w:p>
    <w:p w14:paraId="394C5CC8" w14:textId="77777777" w:rsidR="009A1405" w:rsidRPr="00AF24E3" w:rsidRDefault="00437FDA">
      <w:pPr>
        <w:spacing w:before="60" w:after="120" w:line="280" w:lineRule="auto"/>
        <w:jc w:val="both"/>
      </w:pPr>
      <w:r w:rsidRPr="00AF24E3">
        <w:t xml:space="preserve">José Luis Romero, en su panorama de la cultura de la Alta Edad Media, identifica el </w:t>
      </w:r>
      <w:r w:rsidRPr="00AF24E3">
        <w:rPr>
          <w:b/>
          <w:bCs/>
        </w:rPr>
        <w:t>problema de los universales</w:t>
      </w:r>
      <w:r w:rsidRPr="00AF24E3">
        <w:t xml:space="preserve"> como el núcleo del debate intelectual que dominará los siglos XI al XII</w:t>
      </w:r>
      <w:r w:rsidRPr="00AF24E3">
        <w:t>I. La cuestión puede formularse con aparente sencillez: ¿los conceptos generales —«hombre», «animal», «justicia»— tienen una existencia real, independiente de los individuos particulares, o son solo nombres, palabras que usamos para designar conjuntos de i</w:t>
      </w:r>
      <w:r w:rsidRPr="00AF24E3">
        <w:t xml:space="preserve">ndividuos similares? La posición que sostiene la existencia real de los conceptos generales se llama </w:t>
      </w:r>
      <w:r w:rsidRPr="00AF24E3">
        <w:rPr>
          <w:b/>
          <w:bCs/>
        </w:rPr>
        <w:t>realismo</w:t>
      </w:r>
      <w:r w:rsidRPr="00AF24E3">
        <w:t xml:space="preserve">; la que sostiene que son solo nombres, </w:t>
      </w:r>
      <w:r w:rsidRPr="00AF24E3">
        <w:rPr>
          <w:b/>
          <w:bCs/>
        </w:rPr>
        <w:t>nominalismo</w:t>
      </w:r>
      <w:r w:rsidRPr="00AF24E3">
        <w:t>.</w:t>
      </w:r>
    </w:p>
    <w:p w14:paraId="7D3D728C" w14:textId="77777777" w:rsidR="009A1405" w:rsidRPr="00AF24E3" w:rsidRDefault="00437FDA">
      <w:pPr>
        <w:spacing w:before="60" w:after="120" w:line="280" w:lineRule="auto"/>
        <w:jc w:val="both"/>
      </w:pPr>
      <w:r w:rsidRPr="00AF24E3">
        <w:t xml:space="preserve">«Tan simple como pueda parecer este antagonismo, sus implicancias conducían al corazón de los </w:t>
      </w:r>
      <w:r w:rsidRPr="00AF24E3">
        <w:t>problemas fundamentales de la doctrina», escribe Romero (1951, p. 149). Si los conceptos universales son solo palabras, entonces los misterios de la fe —la Trinidad, la transubstanciación— no son realidades en sí mismas sino denominaciones. Las consecuenci</w:t>
      </w:r>
      <w:r w:rsidRPr="00AF24E3">
        <w:t xml:space="preserve">as teológicas de esta posición eran, para la Iglesia medieval, catastróficas. La escuela de Chartres, «de orientación fuertemente agustiniana, defendía la posición realista», mientras que </w:t>
      </w:r>
      <w:r w:rsidRPr="00AF24E3">
        <w:rPr>
          <w:b/>
          <w:bCs/>
        </w:rPr>
        <w:t>Roscelino de Compiègne</w:t>
      </w:r>
      <w:r w:rsidRPr="00AF24E3">
        <w:t xml:space="preserve"> «sostuvo la tesis nominalista». La disputa en</w:t>
      </w:r>
      <w:r w:rsidRPr="00AF24E3">
        <w:t xml:space="preserve">tre </w:t>
      </w:r>
      <w:r w:rsidRPr="00AF24E3">
        <w:rPr>
          <w:b/>
          <w:bCs/>
        </w:rPr>
        <w:t>San Anselmo</w:t>
      </w:r>
      <w:r w:rsidRPr="00AF24E3">
        <w:t xml:space="preserve"> y sus adversarios nominalistas es, en este sentido, el primer gran debate filosófico de la escolástica.</w:t>
      </w:r>
    </w:p>
    <w:p w14:paraId="63340F1C" w14:textId="77777777" w:rsidR="009A1405" w:rsidRPr="00AF24E3" w:rsidRDefault="00437FDA">
      <w:pPr>
        <w:spacing w:before="60" w:after="120" w:line="280" w:lineRule="auto"/>
        <w:jc w:val="both"/>
      </w:pPr>
      <w:r w:rsidRPr="00AF24E3">
        <w:lastRenderedPageBreak/>
        <w:t xml:space="preserve">Fue </w:t>
      </w:r>
      <w:r w:rsidRPr="00AF24E3">
        <w:rPr>
          <w:b/>
          <w:bCs/>
        </w:rPr>
        <w:t>Abelardo</w:t>
      </w:r>
      <w:r w:rsidRPr="00AF24E3">
        <w:t xml:space="preserve"> quien intentó la primera síntesis de envergadura, con la posición conocida como conceptualismo: los universales no son cosa</w:t>
      </w:r>
      <w:r w:rsidRPr="00AF24E3">
        <w:t xml:space="preserve">s independientes (contra el realismo) ni meras palabras vacías (contra el nominalismo), sino </w:t>
      </w:r>
      <w:r w:rsidRPr="00AF24E3">
        <w:rPr>
          <w:i/>
          <w:iCs/>
        </w:rPr>
        <w:t>conceptos</w:t>
      </w:r>
      <w:r w:rsidRPr="00AF24E3">
        <w:t xml:space="preserve"> —productos de la mente que tienen fundamento en la realidad pero no existen fuera de ella. Romero sitúa esta síntesis junto a las de Gilberto de la Poiré</w:t>
      </w:r>
      <w:r w:rsidRPr="00AF24E3">
        <w:t xml:space="preserve"> y Pedro Lombardo como el antecedente de la gran solución tomista que, «ligeramente inclinada hacia el nominalismo, ordenó Santo Tomás dentro de un sistema monumental» (Romero, 1951, p. 150).</w:t>
      </w:r>
    </w:p>
    <w:p w14:paraId="70DEA68A" w14:textId="77777777" w:rsidR="009A1405" w:rsidRPr="00AF24E3" w:rsidRDefault="00437FDA">
      <w:pPr>
        <w:pStyle w:val="Ttulo2"/>
        <w:rPr>
          <w:color w:val="auto"/>
        </w:rPr>
      </w:pPr>
      <w:r w:rsidRPr="00AF24E3">
        <w:rPr>
          <w:color w:val="auto"/>
        </w:rPr>
        <w:t>5.2 La escolástica y el método de la suma</w:t>
      </w:r>
    </w:p>
    <w:p w14:paraId="5B423232" w14:textId="77777777" w:rsidR="009A1405" w:rsidRPr="00AF24E3" w:rsidRDefault="00437FDA">
      <w:pPr>
        <w:spacing w:before="60" w:after="120" w:line="280" w:lineRule="auto"/>
        <w:jc w:val="both"/>
      </w:pPr>
      <w:r w:rsidRPr="00AF24E3">
        <w:t xml:space="preserve">De las disputas sobre </w:t>
      </w:r>
      <w:r w:rsidRPr="00AF24E3">
        <w:t xml:space="preserve">los universales nació la escolástica como </w:t>
      </w:r>
      <w:r w:rsidRPr="00AF24E3">
        <w:rPr>
          <w:b/>
          <w:bCs/>
        </w:rPr>
        <w:t>método</w:t>
      </w:r>
      <w:r w:rsidRPr="00AF24E3">
        <w:t>: un procedimiento de discusión de los problemas basado en la fundamentación y la refutación de opiniones —no en el descubrimiento de nuevas verdades— que procuraba llevar hasta sus últimas consecuencias el c</w:t>
      </w:r>
      <w:r w:rsidRPr="00AF24E3">
        <w:t xml:space="preserve">onjunto de nociones dogmáticas sostenidas por la fe. El gran principio que lo articula es el de Anselmo de Canterbury: </w:t>
      </w:r>
      <w:r w:rsidRPr="00AF24E3">
        <w:rPr>
          <w:i/>
          <w:iCs/>
          <w:sz w:val="21"/>
          <w:szCs w:val="21"/>
        </w:rPr>
        <w:t>Credo ut intelligam</w:t>
      </w:r>
      <w:r w:rsidRPr="00AF24E3">
        <w:t xml:space="preserve"> —«creo para luego entender lo que creo por el camino de la razón».</w:t>
      </w:r>
    </w:p>
    <w:p w14:paraId="5EB9457F" w14:textId="77777777" w:rsidR="009A1405" w:rsidRPr="00AF24E3" w:rsidRDefault="00437FDA">
      <w:pPr>
        <w:spacing w:before="60" w:after="120" w:line="280" w:lineRule="auto"/>
        <w:jc w:val="both"/>
      </w:pPr>
      <w:r w:rsidRPr="00AF24E3">
        <w:t xml:space="preserve">El florecimiento de la escolástica corresponde al siglo XIII, con cuatro figuras que Romero organiza en dos pares: de orientación agustiniana, los franciscanos </w:t>
      </w:r>
      <w:r w:rsidRPr="00AF24E3">
        <w:rPr>
          <w:b/>
          <w:bCs/>
        </w:rPr>
        <w:t>Alejandro de Hales</w:t>
      </w:r>
      <w:r w:rsidRPr="00AF24E3">
        <w:t xml:space="preserve"> y </w:t>
      </w:r>
      <w:r w:rsidRPr="00AF24E3">
        <w:rPr>
          <w:b/>
          <w:bCs/>
        </w:rPr>
        <w:t>San Buenaventura</w:t>
      </w:r>
      <w:r w:rsidRPr="00AF24E3">
        <w:t xml:space="preserve">; de orientación aristotélica, los dominicos </w:t>
      </w:r>
      <w:r w:rsidRPr="00AF24E3">
        <w:rPr>
          <w:b/>
          <w:bCs/>
        </w:rPr>
        <w:t>Alberto Magno</w:t>
      </w:r>
      <w:r w:rsidRPr="00AF24E3">
        <w:t xml:space="preserve"> </w:t>
      </w:r>
      <w:r w:rsidRPr="00AF24E3">
        <w:t xml:space="preserve">y </w:t>
      </w:r>
      <w:r w:rsidRPr="00AF24E3">
        <w:rPr>
          <w:b/>
          <w:bCs/>
        </w:rPr>
        <w:t>Santo Tomás de Aquino</w:t>
      </w:r>
      <w:r w:rsidRPr="00AF24E3">
        <w:t>. El predominio de la concepción sistemática «condujo a estos últimos a la construcción de vastas enciclopedias del saber teológico, las Sumas, que constituyeron, en cierto modo, los documentos de ciertas posiciones irreductibles» (R</w:t>
      </w:r>
      <w:r w:rsidRPr="00AF24E3">
        <w:t xml:space="preserve">omero, 1951, p. 150). Las </w:t>
      </w:r>
      <w:r w:rsidRPr="00AF24E3">
        <w:rPr>
          <w:i/>
          <w:iCs/>
        </w:rPr>
        <w:t>Sumas</w:t>
      </w:r>
      <w:r w:rsidRPr="00AF24E3">
        <w:t xml:space="preserve"> son el correlato teológico de la rueda del </w:t>
      </w:r>
      <w:r w:rsidRPr="00AF24E3">
        <w:rPr>
          <w:i/>
          <w:iCs/>
        </w:rPr>
        <w:t>Hortus deliciarum</w:t>
      </w:r>
      <w:r w:rsidRPr="00AF24E3">
        <w:t xml:space="preserve">: intentan contener todo el saber dentro de una arquitectura perfectamente articulada. Pero mientras la rueda excluye a los poetas por la puerta trasera, las </w:t>
      </w:r>
      <w:r w:rsidRPr="00AF24E3">
        <w:rPr>
          <w:i/>
          <w:iCs/>
        </w:rPr>
        <w:t>Sumas</w:t>
      </w:r>
      <w:r w:rsidRPr="00AF24E3">
        <w:t xml:space="preserve"> </w:t>
      </w:r>
      <w:r w:rsidRPr="00AF24E3">
        <w:t>enfrentarán un desafío más serio: el corpus aristotélico que llegó a través de las traducciones árabes no cabe con facilidad en su sistema.</w:t>
      </w:r>
    </w:p>
    <w:p w14:paraId="54C63585" w14:textId="77777777" w:rsidR="009A1405" w:rsidRPr="00AF24E3" w:rsidRDefault="00437FDA">
      <w:pPr>
        <w:spacing w:before="60" w:after="120" w:line="280" w:lineRule="auto"/>
        <w:jc w:val="both"/>
      </w:pPr>
      <w:r w:rsidRPr="00AF24E3">
        <w:t>Junto a la gran especulación teológica floreció —en el mismo período— un movimiento de saber orientado hacia la natu</w:t>
      </w:r>
      <w:r w:rsidRPr="00AF24E3">
        <w:t xml:space="preserve">raleza, cuyo centro estaba en los franciscanos ingleses. Romero menciona a </w:t>
      </w:r>
      <w:r w:rsidRPr="00AF24E3">
        <w:rPr>
          <w:b/>
          <w:bCs/>
        </w:rPr>
        <w:t>Adam de Marsch</w:t>
      </w:r>
      <w:r w:rsidRPr="00AF24E3">
        <w:t xml:space="preserve">, </w:t>
      </w:r>
      <w:r w:rsidRPr="00AF24E3">
        <w:rPr>
          <w:b/>
          <w:bCs/>
        </w:rPr>
        <w:t>Roberto Grosseteste</w:t>
      </w:r>
      <w:r w:rsidRPr="00AF24E3">
        <w:t xml:space="preserve"> y, «sobre todo, Roger Bacon» (Romero, 1951, p. 151). Este movimiento empírico, «que modificó el panorama del saber profano, no dejó de tener infl</w:t>
      </w:r>
      <w:r w:rsidRPr="00AF24E3">
        <w:t xml:space="preserve">uencia en el saber teológico, sobre todo debido al conocimiento de Averroes, cuyas doctrinas hicieron numerosos adeptos». El averroísmo introdujo en la universidad medieval un principio que la rueda del </w:t>
      </w:r>
      <w:r w:rsidRPr="00AF24E3">
        <w:rPr>
          <w:i/>
          <w:iCs/>
        </w:rPr>
        <w:t>Hortus</w:t>
      </w:r>
      <w:r w:rsidRPr="00AF24E3">
        <w:t xml:space="preserve"> no podía contener: la posibilidad de que hubie</w:t>
      </w:r>
      <w:r w:rsidRPr="00AF24E3">
        <w:t xml:space="preserve">ra una </w:t>
      </w:r>
      <w:r w:rsidRPr="00AF24E3">
        <w:rPr>
          <w:b/>
          <w:bCs/>
        </w:rPr>
        <w:t>doble verdad</w:t>
      </w:r>
      <w:r w:rsidRPr="00AF24E3">
        <w:t xml:space="preserve"> —una orientada por la revelación, otra por la naturaleza— que no se contradijeran pero tampoco se fundieran.</w:t>
      </w:r>
    </w:p>
    <w:p w14:paraId="678E3D73" w14:textId="77777777" w:rsidR="009A1405" w:rsidRPr="00AF24E3" w:rsidRDefault="00437FDA">
      <w:pPr>
        <w:pStyle w:val="Ttulo2"/>
        <w:rPr>
          <w:color w:val="auto"/>
        </w:rPr>
      </w:pPr>
      <w:r w:rsidRPr="00AF24E3">
        <w:rPr>
          <w:color w:val="auto"/>
        </w:rPr>
        <w:t>5.3 El impulso enciclopédico como forma de saber</w:t>
      </w:r>
    </w:p>
    <w:p w14:paraId="7F0146D7" w14:textId="77777777" w:rsidR="009A1405" w:rsidRPr="00AF24E3" w:rsidRDefault="00437FDA">
      <w:pPr>
        <w:spacing w:before="60" w:after="120" w:line="280" w:lineRule="auto"/>
        <w:jc w:val="both"/>
      </w:pPr>
      <w:r w:rsidRPr="00AF24E3">
        <w:t xml:space="preserve">Romero observa que «una tendencia semejante a la ordenación enciclopédica del </w:t>
      </w:r>
      <w:r w:rsidRPr="00AF24E3">
        <w:t xml:space="preserve">saber se advirtió en el campo del conocimiento profano» (Romero, 1951, p. 150). De la misma época que las </w:t>
      </w:r>
      <w:r w:rsidRPr="00AF24E3">
        <w:rPr>
          <w:i/>
          <w:iCs/>
        </w:rPr>
        <w:t>Sumas</w:t>
      </w:r>
      <w:r w:rsidRPr="00AF24E3">
        <w:t xml:space="preserve"> son los </w:t>
      </w:r>
      <w:r w:rsidRPr="00AF24E3">
        <w:rPr>
          <w:i/>
          <w:iCs/>
        </w:rPr>
        <w:t>Espejos</w:t>
      </w:r>
      <w:r w:rsidRPr="00AF24E3">
        <w:t xml:space="preserve"> de Vicente de Beauvais, el </w:t>
      </w:r>
      <w:r w:rsidRPr="00AF24E3">
        <w:rPr>
          <w:i/>
          <w:iCs/>
        </w:rPr>
        <w:t>Tesoro</w:t>
      </w:r>
      <w:r w:rsidRPr="00AF24E3">
        <w:t xml:space="preserve"> de Bruneto Latino, el </w:t>
      </w:r>
      <w:r w:rsidRPr="00AF24E3">
        <w:rPr>
          <w:i/>
          <w:iCs/>
        </w:rPr>
        <w:t>Setenario</w:t>
      </w:r>
      <w:r w:rsidRPr="00AF24E3">
        <w:t xml:space="preserve"> </w:t>
      </w:r>
      <w:r w:rsidRPr="00AF24E3">
        <w:lastRenderedPageBreak/>
        <w:t>de Alfonso el Sabio. El impulso enciclopédico no es solo una v</w:t>
      </w:r>
      <w:r w:rsidRPr="00AF24E3">
        <w:t xml:space="preserve">anidad intelectual: responde a la convicción de que el saber es </w:t>
      </w:r>
      <w:r w:rsidRPr="00AF24E3">
        <w:rPr>
          <w:b/>
          <w:bCs/>
        </w:rPr>
        <w:t>ordenable</w:t>
      </w:r>
      <w:r w:rsidRPr="00AF24E3">
        <w:t>, que hay una arquitectura del conocimiento que puede ser trazada en su totalidad, que la razón humana puede abarcar —al menos en sus principios— el conjunto de lo cognoscible.</w:t>
      </w:r>
    </w:p>
    <w:p w14:paraId="6E63D6C7" w14:textId="77777777" w:rsidR="009A1405" w:rsidRPr="00AF24E3" w:rsidRDefault="00437FDA">
      <w:pPr>
        <w:spacing w:before="60" w:after="120" w:line="280" w:lineRule="auto"/>
        <w:jc w:val="both"/>
      </w:pPr>
      <w:r w:rsidRPr="00AF24E3">
        <w:t>Esta c</w:t>
      </w:r>
      <w:r w:rsidRPr="00AF24E3">
        <w:t>onvicción es la que la Baja Edad Media comenzará a erosionar. Con Duns Escoto y Guillermo de Occam, el divorcio entre teología y filosofía —entre lo que la fe afirma y lo que la razón puede demostrar— se vuelve metodológico y radical: «nada de lo demostrad</w:t>
      </w:r>
      <w:r w:rsidRPr="00AF24E3">
        <w:t xml:space="preserve">o por la razón es revelado por Dios, y nada de lo revelado por Dios es demostrable por la razón» (Romero, 1951, p. 196). Este divorcio, que en apariencia debilita al saber, es en realidad el que abre el camino a la ciencia autónoma: si la naturaleza no es </w:t>
      </w:r>
      <w:r w:rsidRPr="00AF24E3">
        <w:t>revelada, puede ser investigada con los instrumentos propios de la razón observacional, sin necesidad de tutela teológica.</w:t>
      </w:r>
    </w:p>
    <w:p w14:paraId="7633F3C8" w14:textId="77777777" w:rsidR="009A1405" w:rsidRPr="00AF24E3" w:rsidRDefault="00437FDA">
      <w:pPr>
        <w:pStyle w:val="Ttulo1"/>
        <w:rPr>
          <w:color w:val="auto"/>
        </w:rPr>
      </w:pPr>
      <w:r w:rsidRPr="00AF24E3">
        <w:rPr>
          <w:color w:val="auto"/>
        </w:rPr>
        <w:t>VI. La Crisis del Orden Medieval y la Emergencia del Saber Burgués</w:t>
      </w:r>
    </w:p>
    <w:p w14:paraId="26C91B5F" w14:textId="77777777" w:rsidR="009A1405" w:rsidRPr="00AF24E3" w:rsidRDefault="00437FDA">
      <w:pPr>
        <w:pStyle w:val="Ttulo2"/>
        <w:rPr>
          <w:color w:val="auto"/>
        </w:rPr>
      </w:pPr>
      <w:r w:rsidRPr="00AF24E3">
        <w:rPr>
          <w:color w:val="auto"/>
        </w:rPr>
        <w:t>6.1 El duelo entre el espíritu caballeresco y el espíritu burgués</w:t>
      </w:r>
    </w:p>
    <w:p w14:paraId="6D5F4F1A" w14:textId="77777777" w:rsidR="009A1405" w:rsidRPr="00AF24E3" w:rsidRDefault="00437FDA">
      <w:pPr>
        <w:spacing w:before="60" w:after="120" w:line="280" w:lineRule="auto"/>
        <w:jc w:val="both"/>
      </w:pPr>
      <w:r w:rsidRPr="00AF24E3">
        <w:t>La Baja Edad Media —el período que José Luis Romero define como el que transcurre «desde que se anuncia la crisis del orden medieval —en la segunda mitad del siglo XIII— hasta las postrimerías del siglo XV»— es, en su formulación más precisa, «un constant</w:t>
      </w:r>
      <w:r w:rsidRPr="00AF24E3">
        <w:t>e duelo entre fuerzas opuestas en el que adquieren particular significación el duelo entre el espíritu caballeresco y el espíritu burgués, y el duelo entre el sentimiento religioso y el sentimiento profano» (Romero, 1951, p. 191). Es importante notar que R</w:t>
      </w:r>
      <w:r w:rsidRPr="00AF24E3">
        <w:t xml:space="preserve">omero habla de </w:t>
      </w:r>
      <w:r w:rsidRPr="00AF24E3">
        <w:rPr>
          <w:b/>
          <w:bCs/>
        </w:rPr>
        <w:t>duelo</w:t>
      </w:r>
      <w:r w:rsidRPr="00AF24E3">
        <w:t>, no de victoria: ninguna de las dos fuerzas triunfa definitivamente en el período. La Baja Edad Media se caracteriza precisamente por la coexistencia tensa, productiva y a veces violenta de estas orientaciones encontradas.</w:t>
      </w:r>
    </w:p>
    <w:p w14:paraId="71B71CD0" w14:textId="77777777" w:rsidR="009A1405" w:rsidRPr="00AF24E3" w:rsidRDefault="00437FDA">
      <w:pPr>
        <w:spacing w:before="60" w:after="120" w:line="280" w:lineRule="auto"/>
        <w:jc w:val="both"/>
      </w:pPr>
      <w:r w:rsidRPr="00AF24E3">
        <w:t xml:space="preserve">El espíritu </w:t>
      </w:r>
      <w:r w:rsidRPr="00AF24E3">
        <w:t xml:space="preserve">caballeresco sobrevivía como «recuerdo celosamente defendido», con su código de honor, sus torneos y sus formas de vida cortesana, pero «correspondía cada vez menos al tono general de los tiempos» (Romero, 1951, p. 192). Sus supuestos habían sido atacados </w:t>
      </w:r>
      <w:r w:rsidRPr="00AF24E3">
        <w:t>por las nuevas relaciones económicas y sociales, y en su lugar se elevaban otros defendidos por las crecientes clases burguesas. La burguesía «no valía sólo por su dinero. Valía también por la nueva concepción de la vida que representaba, por el nuevo enfo</w:t>
      </w:r>
      <w:r w:rsidRPr="00AF24E3">
        <w:t>que de los problemas que proporcionaba, por el nuevo sistema de valores que oponía al de las clases privilegiadas y adheridas a las tradiciones señoriales» (Romero, 1951, p. 189).</w:t>
      </w:r>
    </w:p>
    <w:p w14:paraId="1CDA84A8" w14:textId="77777777" w:rsidR="009A1405" w:rsidRPr="00AF24E3" w:rsidRDefault="00437FDA">
      <w:pPr>
        <w:pStyle w:val="Ttulo2"/>
        <w:rPr>
          <w:color w:val="auto"/>
        </w:rPr>
      </w:pPr>
      <w:r w:rsidRPr="00AF24E3">
        <w:rPr>
          <w:color w:val="auto"/>
        </w:rPr>
        <w:t>6.2 El surgimiento del individualismo y la figura del artista</w:t>
      </w:r>
    </w:p>
    <w:p w14:paraId="1C072FAF" w14:textId="77777777" w:rsidR="009A1405" w:rsidRPr="00AF24E3" w:rsidRDefault="00437FDA">
      <w:pPr>
        <w:spacing w:before="60" w:after="120" w:line="280" w:lineRule="auto"/>
        <w:jc w:val="both"/>
      </w:pPr>
      <w:r w:rsidRPr="00AF24E3">
        <w:t>Romero identif</w:t>
      </w:r>
      <w:r w:rsidRPr="00AF24E3">
        <w:t xml:space="preserve">ica en el período de la Baja Edad Media «la incipiente aparición del individualismo» como rasgo típico (Romero, 1951, p. 194). El retrato pictórico aparece por entonces —Jean Fouquet, Van Eyck—, y con él la biografía individualizada, no arquetípica: </w:t>
      </w:r>
      <w:r w:rsidRPr="00AF24E3">
        <w:lastRenderedPageBreak/>
        <w:t>Fernán</w:t>
      </w:r>
      <w:r w:rsidRPr="00AF24E3">
        <w:t xml:space="preserve"> Pérez de Guzmán, Hernando del Pulgar, Vespasiano da Bisticci. La actitud del artista —«pintor, escultor, biógrafo o poeta»— corresponde a la percepción de un fenómeno espiritual y social: «la afirmación progresiva de lo individual frente a lo colectivo».</w:t>
      </w:r>
    </w:p>
    <w:p w14:paraId="34BBB5FD" w14:textId="77777777" w:rsidR="009A1405" w:rsidRPr="00AF24E3" w:rsidRDefault="00437FDA">
      <w:pPr>
        <w:spacing w:before="60" w:after="120" w:line="280" w:lineRule="auto"/>
        <w:jc w:val="both"/>
      </w:pPr>
      <w:r w:rsidRPr="00AF24E3">
        <w:t>Este desarrollo tiene consecuencias directas para la historia del saber. El artesano que cubre de estatuas el pórtico de una catedral «no lograba, generalmente, perpetuar su nombre», observa Romero; pero «no ocurrirá lo mismo cuando el artesano pintor o es</w:t>
      </w:r>
      <w:r w:rsidRPr="00AF24E3">
        <w:t>cultor de la Baja Edad Media llegue a brillar en su arte. El trabajo merecía ahora mayor estimación y la creación lograda por el perfeccionamiento del trabajo manual alcanzaba el mismo mérito, la misma consideración social que la obra del trovador cortesan</w:t>
      </w:r>
      <w:r w:rsidRPr="00AF24E3">
        <w:t>o o el sabio humanista» (Romero, 1951, p. 211). La figura del artista como creador individual —que el Renacimiento consagrará— está ya en gestación en la Baja Edad Media.</w:t>
      </w:r>
    </w:p>
    <w:p w14:paraId="1782FEBA" w14:textId="77777777" w:rsidR="009A1405" w:rsidRPr="00AF24E3" w:rsidRDefault="00437FDA">
      <w:pPr>
        <w:pStyle w:val="Ttulo2"/>
        <w:rPr>
          <w:color w:val="auto"/>
        </w:rPr>
      </w:pPr>
      <w:r w:rsidRPr="00AF24E3">
        <w:rPr>
          <w:color w:val="auto"/>
        </w:rPr>
        <w:t>6.3 El humanismo y el tránsito hacia la modernidad</w:t>
      </w:r>
    </w:p>
    <w:p w14:paraId="25CE8AF5" w14:textId="77777777" w:rsidR="009A1405" w:rsidRPr="00AF24E3" w:rsidRDefault="00437FDA">
      <w:pPr>
        <w:spacing w:before="60" w:after="120" w:line="280" w:lineRule="auto"/>
        <w:jc w:val="both"/>
      </w:pPr>
      <w:r w:rsidRPr="00AF24E3">
        <w:t>La llegada de la influencia de Bizancio a Italia —a través de eruditos fugitivos como Miguel Crisoloras, Constantino Láscaris y el cardenal Besarión— desencadenó un movimiento intelectual que Romero describe como una «ruta de evasión de la concepción medie</w:t>
      </w:r>
      <w:r w:rsidRPr="00AF24E3">
        <w:t xml:space="preserve">val de la vida» (Romero, 1951, p. 198): el </w:t>
      </w:r>
      <w:r w:rsidRPr="00AF24E3">
        <w:rPr>
          <w:b/>
          <w:bCs/>
        </w:rPr>
        <w:t>humanismo</w:t>
      </w:r>
      <w:r w:rsidRPr="00AF24E3">
        <w:t>. Pero Romero es cuidadoso: esa evasión «no fue repentina y total ni el designio de alcanzarla fue plenamente deliberado». Los elementos de la concepción medieval estaban vigorosamente arraigados —tanto q</w:t>
      </w:r>
      <w:r w:rsidRPr="00AF24E3">
        <w:t>ue se perpetuarán en la conciencia occidental a lo largo de la modernidad— y otros estaban ya en estado de revisión en la Baja Edad Media.</w:t>
      </w:r>
    </w:p>
    <w:p w14:paraId="0AA452FF" w14:textId="77777777" w:rsidR="009A1405" w:rsidRPr="00AF24E3" w:rsidRDefault="00437FDA">
      <w:pPr>
        <w:spacing w:before="60" w:after="120" w:line="280" w:lineRule="auto"/>
        <w:jc w:val="both"/>
      </w:pPr>
      <w:r w:rsidRPr="00AF24E3">
        <w:t>La Academia Platónica de Florencia, donde Marsilio Ficino y Pico de la Mirándola se entregaron al estudio de Platón y</w:t>
      </w:r>
      <w:r w:rsidRPr="00AF24E3">
        <w:t xml:space="preserve"> los neoplatónicos, fue el escenario de la floración del humanismo italiano. Sus figuras más señaladas en este período son, además de las ya nombradas, Petrarca y Boccaccio, León Bautista Alberti, Poggio Bracciolini, Lorenzo Valla y Victoriano de Feltre. E</w:t>
      </w:r>
      <w:r w:rsidRPr="00AF24E3">
        <w:t>ste movimiento no era una ruptura limpia con el medioevo: «la continuidad es la que explica la introducción de algunos aspectos del humanismo dentro del sistema medieval todavía vigente en ciertos países, como los de la península ibérica» (Romero, 1951, p.</w:t>
      </w:r>
      <w:r w:rsidRPr="00AF24E3">
        <w:t xml:space="preserve"> 198). El humanismo y la tradición medieval coexistieron durante décadas, y su tensión —entre la concepción teística y trascendentalista de la Edad Media y la concepción naturalística e inmanentista hacia la que marchaba el humanismo— «caracteriza la cultu</w:t>
      </w:r>
      <w:r w:rsidRPr="00AF24E3">
        <w:t>ra de la Baja Edad Media».</w:t>
      </w:r>
    </w:p>
    <w:p w14:paraId="2D7F9D7E" w14:textId="77777777" w:rsidR="009A1405" w:rsidRPr="00AF24E3" w:rsidRDefault="00437FDA">
      <w:pPr>
        <w:spacing w:before="60" w:after="120" w:line="280" w:lineRule="auto"/>
        <w:jc w:val="both"/>
      </w:pPr>
      <w:r w:rsidRPr="00AF24E3">
        <w:t xml:space="preserve">La figura de Dante Alighieri atraviesa todo este arco. Es a la vez el testigo más lúcido y más dolido de la crisis del orden medieval —su </w:t>
      </w:r>
      <w:r w:rsidRPr="00AF24E3">
        <w:rPr>
          <w:i/>
          <w:iCs/>
        </w:rPr>
        <w:t>Comedia</w:t>
      </w:r>
      <w:r w:rsidRPr="00AF24E3">
        <w:t xml:space="preserve"> es, como dice Romero, «grande también como documento de la disolución del orden med</w:t>
      </w:r>
      <w:r w:rsidRPr="00AF24E3">
        <w:t>ieval que el poeta amaba» (Romero, 1951, p. 184)— y la primera gran obra de literatura vernácula que aspira a la dignidad que el latín reservaba al saber eclesiástico. Dante inaugura el período en que el saber comienza a hablar en las lenguas de los vivos.</w:t>
      </w:r>
    </w:p>
    <w:p w14:paraId="20F872D3" w14:textId="77777777" w:rsidR="009A1405" w:rsidRPr="00AF24E3" w:rsidRDefault="00437FDA">
      <w:pPr>
        <w:pStyle w:val="Ttulo1"/>
        <w:rPr>
          <w:color w:val="auto"/>
        </w:rPr>
      </w:pPr>
      <w:r w:rsidRPr="00AF24E3">
        <w:rPr>
          <w:color w:val="auto"/>
        </w:rPr>
        <w:lastRenderedPageBreak/>
        <w:t>VII. Tesis Fundamentales del Texto</w:t>
      </w:r>
    </w:p>
    <w:p w14:paraId="0AE24342" w14:textId="77777777" w:rsidR="009A1405" w:rsidRPr="00AF24E3" w:rsidRDefault="00437FDA">
      <w:pPr>
        <w:spacing w:before="60" w:after="120" w:line="280" w:lineRule="auto"/>
        <w:jc w:val="both"/>
      </w:pPr>
      <w:r w:rsidRPr="00AF24E3">
        <w:t xml:space="preserve">Al cabo de este recorrido, es posible formular las tesis que articulan el conjunto de los materiales trabajados. No se trata de conclusiones en el sentido de proposiciones definitivas, sino de hipótesis que orientan la </w:t>
      </w:r>
      <w:r w:rsidRPr="00AF24E3">
        <w:t>lectura y que el lector puede discutir, matizar o refutar a partir de los textos.</w:t>
      </w:r>
    </w:p>
    <w:p w14:paraId="612E36AB" w14:textId="77777777" w:rsidR="009A1405" w:rsidRPr="00AF24E3" w:rsidRDefault="00437FDA">
      <w:pPr>
        <w:pStyle w:val="Ttulo2"/>
        <w:rPr>
          <w:color w:val="auto"/>
        </w:rPr>
      </w:pPr>
      <w:r w:rsidRPr="00AF24E3">
        <w:rPr>
          <w:color w:val="auto"/>
        </w:rPr>
        <w:t>Tesis 1. El intelectual medieval es un tipo sociológico producido por la ciudad</w:t>
      </w:r>
    </w:p>
    <w:p w14:paraId="198118E5" w14:textId="77777777" w:rsidR="009A1405" w:rsidRPr="00AF24E3" w:rsidRDefault="00437FDA">
      <w:pPr>
        <w:spacing w:before="60" w:after="120" w:line="280" w:lineRule="auto"/>
        <w:jc w:val="both"/>
      </w:pPr>
      <w:r w:rsidRPr="00AF24E3">
        <w:t xml:space="preserve">Le Goff insiste en que la figura del intelectual —en el sentido de alguien que vive de pensar </w:t>
      </w:r>
      <w:r w:rsidRPr="00AF24E3">
        <w:t>y enseñar su pensamiento— solo es posible en el contexto de la economía urbana y la división del trabajo. El maestro medieval del siglo XII no es simplemente el monje que sabe más: es alguien cuya existencia depende de alumnos que pagan, de competidores qu</w:t>
      </w:r>
      <w:r w:rsidRPr="00AF24E3">
        <w:t>e hay que superar, de una reputación que hay que construir y defender. La ciudad no es el escenario casual donde ocurre la historia intelectual: es su condición de posibilidad.</w:t>
      </w:r>
    </w:p>
    <w:p w14:paraId="5C7CCBEE" w14:textId="77777777" w:rsidR="009A1405" w:rsidRPr="00AF24E3" w:rsidRDefault="00437FDA">
      <w:pPr>
        <w:pStyle w:val="Ttulo2"/>
        <w:rPr>
          <w:color w:val="auto"/>
        </w:rPr>
      </w:pPr>
      <w:r w:rsidRPr="00AF24E3">
        <w:rPr>
          <w:color w:val="auto"/>
        </w:rPr>
        <w:t xml:space="preserve">Tesis 2. Las artes liberales son tecnologías del poder tanto como instrumentos </w:t>
      </w:r>
      <w:r w:rsidRPr="00AF24E3">
        <w:rPr>
          <w:color w:val="auto"/>
        </w:rPr>
        <w:t>del saber</w:t>
      </w:r>
    </w:p>
    <w:p w14:paraId="3DB05883" w14:textId="77777777" w:rsidR="009A1405" w:rsidRPr="00AF24E3" w:rsidRDefault="00437FDA">
      <w:pPr>
        <w:spacing w:before="60" w:after="120" w:line="280" w:lineRule="auto"/>
        <w:jc w:val="both"/>
      </w:pPr>
      <w:r w:rsidRPr="00AF24E3">
        <w:t xml:space="preserve">La rueda del </w:t>
      </w:r>
      <w:r w:rsidRPr="00AF24E3">
        <w:rPr>
          <w:i/>
          <w:iCs/>
        </w:rPr>
        <w:t>Hortus deliciarum</w:t>
      </w:r>
      <w:r w:rsidRPr="00AF24E3">
        <w:t xml:space="preserve"> no es solo un diagrama pedagógico: es un dispositivo de control que define quién produce saber legítimo y quién produce saber contaminado. Las artes liberales son «técnicas» —en el sentido riguroso del </w:t>
      </w:r>
      <w:r w:rsidRPr="00AF24E3">
        <w:rPr>
          <w:i/>
          <w:iCs/>
          <w:sz w:val="21"/>
          <w:szCs w:val="21"/>
        </w:rPr>
        <w:t>ars</w:t>
      </w:r>
      <w:r w:rsidRPr="00AF24E3">
        <w:t xml:space="preserve"> como </w:t>
      </w:r>
      <w:r w:rsidRPr="00AF24E3">
        <w:rPr>
          <w:i/>
          <w:iCs/>
          <w:sz w:val="21"/>
          <w:szCs w:val="21"/>
        </w:rPr>
        <w:t>tekh</w:t>
      </w:r>
      <w:r w:rsidRPr="00AF24E3">
        <w:rPr>
          <w:i/>
          <w:iCs/>
          <w:sz w:val="21"/>
          <w:szCs w:val="21"/>
        </w:rPr>
        <w:t>né</w:t>
      </w:r>
      <w:r w:rsidRPr="00AF24E3">
        <w:t>— pero son también pasaportes sociales: el que las domina tiene acceso a los beneficios eclesiásticos, a los cargos administrativos, a la enseñanza autorizada. El sistema pedagógico medieval es inseparable del sistema de poder medieval.</w:t>
      </w:r>
    </w:p>
    <w:p w14:paraId="3789654D" w14:textId="77777777" w:rsidR="009A1405" w:rsidRPr="00AF24E3" w:rsidRDefault="00437FDA">
      <w:pPr>
        <w:pStyle w:val="Ttulo2"/>
        <w:rPr>
          <w:color w:val="auto"/>
        </w:rPr>
      </w:pPr>
      <w:r w:rsidRPr="00AF24E3">
        <w:rPr>
          <w:color w:val="auto"/>
        </w:rPr>
        <w:t>Tesis 3. El siglo</w:t>
      </w:r>
      <w:r w:rsidRPr="00AF24E3">
        <w:rPr>
          <w:color w:val="auto"/>
        </w:rPr>
        <w:t xml:space="preserve"> XII produce un humanismo previo al Renacimiento</w:t>
      </w:r>
    </w:p>
    <w:p w14:paraId="218531CC" w14:textId="77777777" w:rsidR="009A1405" w:rsidRPr="00AF24E3" w:rsidRDefault="00437FDA">
      <w:pPr>
        <w:spacing w:before="60" w:after="120" w:line="280" w:lineRule="auto"/>
        <w:jc w:val="both"/>
      </w:pPr>
      <w:r w:rsidRPr="00AF24E3">
        <w:t>Chartres desarrolló, más de tres siglos antes del Renacimiento italiano, un humanismo fundado en la racionalidad de la naturaleza, en la centralidad del hombre como microcosmo y en la actividad transformador</w:t>
      </w:r>
      <w:r w:rsidRPr="00AF24E3">
        <w:t xml:space="preserve">a del </w:t>
      </w:r>
      <w:r w:rsidRPr="00AF24E3">
        <w:rPr>
          <w:i/>
          <w:iCs/>
          <w:sz w:val="21"/>
          <w:szCs w:val="21"/>
        </w:rPr>
        <w:t>homo faber</w:t>
      </w:r>
      <w:r w:rsidRPr="00AF24E3">
        <w:t>. Este humanismo no es pagano ni anticristiano: opera dentro del sistema teológico medieval. Pero sus premisas —que la naturaleza tiene leyes propias, que el hombre puede estudiarlas y transformar el mundo mediante su actividad— contienen y</w:t>
      </w:r>
      <w:r w:rsidRPr="00AF24E3">
        <w:t>a las semillas de lo que será la ciencia moderna.</w:t>
      </w:r>
    </w:p>
    <w:p w14:paraId="4E91A675" w14:textId="77777777" w:rsidR="009A1405" w:rsidRPr="00AF24E3" w:rsidRDefault="00437FDA">
      <w:pPr>
        <w:pStyle w:val="Ttulo2"/>
        <w:rPr>
          <w:color w:val="auto"/>
        </w:rPr>
      </w:pPr>
      <w:r w:rsidRPr="00AF24E3">
        <w:rPr>
          <w:color w:val="auto"/>
        </w:rPr>
        <w:t>Tesis 4. La escolástica es un método que contiene en sí mismo las condiciones de su propia crisis</w:t>
      </w:r>
    </w:p>
    <w:p w14:paraId="108EA0B4" w14:textId="77777777" w:rsidR="009A1405" w:rsidRPr="00AF24E3" w:rsidRDefault="00437FDA">
      <w:pPr>
        <w:spacing w:before="60" w:after="120" w:line="280" w:lineRule="auto"/>
        <w:jc w:val="both"/>
      </w:pPr>
      <w:r w:rsidRPr="00AF24E3">
        <w:t xml:space="preserve">El principio anselmiano </w:t>
      </w:r>
      <w:r w:rsidRPr="00AF24E3">
        <w:rPr>
          <w:i/>
          <w:iCs/>
          <w:sz w:val="21"/>
          <w:szCs w:val="21"/>
        </w:rPr>
        <w:t>credo ut intelligam</w:t>
      </w:r>
      <w:r w:rsidRPr="00AF24E3">
        <w:t xml:space="preserve"> —creo para entender— pone la razón al servicio de la fe. Pero al</w:t>
      </w:r>
      <w:r w:rsidRPr="00AF24E3">
        <w:t xml:space="preserve"> poner la razón </w:t>
      </w:r>
      <w:r w:rsidRPr="00AF24E3">
        <w:rPr>
          <w:i/>
          <w:iCs/>
        </w:rPr>
        <w:t>en movimiento</w:t>
      </w:r>
      <w:r w:rsidRPr="00AF24E3">
        <w:t>, crea las condiciones para que esa razón descubra territorios que la fe no había previsto. El averroísmo, el nominalismo de Occam y el empirismo de Roger Bacon son productos del método escolástico llevado más allá de sus límit</w:t>
      </w:r>
      <w:r w:rsidRPr="00AF24E3">
        <w:t>es institucionales. La escolástica produjo su propio desborde.</w:t>
      </w:r>
    </w:p>
    <w:p w14:paraId="7FB7B2D7" w14:textId="77777777" w:rsidR="009A1405" w:rsidRPr="00AF24E3" w:rsidRDefault="00437FDA">
      <w:pPr>
        <w:pStyle w:val="Ttulo2"/>
        <w:rPr>
          <w:color w:val="auto"/>
        </w:rPr>
      </w:pPr>
      <w:r w:rsidRPr="00AF24E3">
        <w:rPr>
          <w:color w:val="auto"/>
        </w:rPr>
        <w:lastRenderedPageBreak/>
        <w:t>Tesis 5. La Baja Edad Media no es declive sino duelo productivo</w:t>
      </w:r>
    </w:p>
    <w:p w14:paraId="20839B37" w14:textId="77777777" w:rsidR="009A1405" w:rsidRPr="00AF24E3" w:rsidRDefault="00437FDA">
      <w:pPr>
        <w:spacing w:before="60" w:after="120" w:line="280" w:lineRule="auto"/>
        <w:jc w:val="both"/>
      </w:pPr>
      <w:r w:rsidRPr="00AF24E3">
        <w:t>Romero rechaza la lectura de la Baja Edad Media como simple decadencia. Lo que se produce en los siglos XIV y XV no es la derrota</w:t>
      </w:r>
      <w:r w:rsidRPr="00AF24E3">
        <w:t xml:space="preserve"> del orden medieval sino su </w:t>
      </w:r>
      <w:r w:rsidRPr="00AF24E3">
        <w:rPr>
          <w:b/>
          <w:bCs/>
        </w:rPr>
        <w:t>duelo</w:t>
      </w:r>
      <w:r w:rsidRPr="00AF24E3">
        <w:t xml:space="preserve"> —una confrontación sin vencedor definitivo entre el espíritu caballeresco y el burgués, entre el sentimiento religioso y el profano, entre la concepción trascendente y la naturalista de la vida. De ese duelo —que no se res</w:t>
      </w:r>
      <w:r w:rsidRPr="00AF24E3">
        <w:t>uelve en el período— emerge el Renacimiento: no como ruptura sino como maduración de tensiones que el medioevo había sostenido durante siglos sin resolver.</w:t>
      </w:r>
    </w:p>
    <w:p w14:paraId="58FC6398" w14:textId="77777777" w:rsidR="009A1405" w:rsidRPr="00AF24E3" w:rsidRDefault="00437FDA">
      <w:pPr>
        <w:pStyle w:val="Ttulo2"/>
        <w:rPr>
          <w:color w:val="auto"/>
        </w:rPr>
      </w:pPr>
      <w:r w:rsidRPr="00AF24E3">
        <w:rPr>
          <w:color w:val="auto"/>
        </w:rPr>
        <w:t>Tesis 6. La historia del saber medieval es también una historia de los excluidos del saber</w:t>
      </w:r>
    </w:p>
    <w:p w14:paraId="1B8E23E7" w14:textId="77777777" w:rsidR="009A1405" w:rsidRPr="00AF24E3" w:rsidRDefault="00437FDA">
      <w:pPr>
        <w:spacing w:before="60" w:after="120" w:line="280" w:lineRule="auto"/>
        <w:jc w:val="both"/>
      </w:pPr>
      <w:r w:rsidRPr="00AF24E3">
        <w:t>Los poeta</w:t>
      </w:r>
      <w:r w:rsidRPr="00AF24E3">
        <w:t xml:space="preserve">s de las esquinas del </w:t>
      </w:r>
      <w:r w:rsidRPr="00AF24E3">
        <w:rPr>
          <w:i/>
          <w:iCs/>
        </w:rPr>
        <w:t>Hortus deliciarum</w:t>
      </w:r>
      <w:r w:rsidRPr="00AF24E3">
        <w:t>, los goliardos que no tienen prebenda, las mujeres como Herrada de Hohenbourg que compilan enciclopedias desde el interior de los conventos, los judíos y mozárabes que hacen posible las traducciones toledanas sin que</w:t>
      </w:r>
      <w:r w:rsidRPr="00AF24E3">
        <w:t xml:space="preserve"> su nombre figure en los títulos, los estudiantes pobres que siguen a los maestros de ciudad en ciudad sin poder costearse un beneficio eclesiástico: todos ellos son parte de la historia intelectual medieval, aunque el sistema que documentamos tiende a inv</w:t>
      </w:r>
      <w:r w:rsidRPr="00AF24E3">
        <w:t>isibilizarlos. Una historia de la educación medieval que no incluye sus márgenes no es, en rigor, una historia completa.</w:t>
      </w:r>
    </w:p>
    <w:p w14:paraId="42F5613C" w14:textId="77777777" w:rsidR="009A1405" w:rsidRPr="00AF24E3" w:rsidRDefault="009A1405"/>
    <w:p w14:paraId="18ED214E" w14:textId="77777777" w:rsidR="009A1405" w:rsidRPr="00AF24E3" w:rsidRDefault="009A1405">
      <w:pPr>
        <w:pBdr>
          <w:bottom w:val="single" w:sz="6" w:space="0" w:color="7B1C35"/>
        </w:pBdr>
        <w:spacing w:before="160" w:after="160"/>
      </w:pPr>
    </w:p>
    <w:p w14:paraId="6F4C6DE7" w14:textId="77777777" w:rsidR="009A1405" w:rsidRPr="00AF24E3" w:rsidRDefault="00437FDA">
      <w:pPr>
        <w:pStyle w:val="Ttulo1"/>
        <w:rPr>
          <w:color w:val="auto"/>
        </w:rPr>
      </w:pPr>
      <w:r w:rsidRPr="00AF24E3">
        <w:rPr>
          <w:color w:val="auto"/>
        </w:rPr>
        <w:t>Fuentes y Bibliografía</w:t>
      </w:r>
    </w:p>
    <w:p w14:paraId="0FF0B1DC" w14:textId="77777777" w:rsidR="009A1405" w:rsidRPr="00AF24E3" w:rsidRDefault="00437FDA">
      <w:pPr>
        <w:pStyle w:val="Ttulo2"/>
        <w:rPr>
          <w:color w:val="auto"/>
        </w:rPr>
      </w:pPr>
      <w:r w:rsidRPr="00AF24E3">
        <w:rPr>
          <w:color w:val="auto"/>
        </w:rPr>
        <w:t>Fuentes trabajadas en el documento</w:t>
      </w:r>
    </w:p>
    <w:p w14:paraId="42C17CDA" w14:textId="77777777" w:rsidR="009A1405" w:rsidRPr="00AF24E3" w:rsidRDefault="00437FDA">
      <w:pPr>
        <w:spacing w:before="60" w:after="120" w:line="280" w:lineRule="auto"/>
        <w:jc w:val="both"/>
      </w:pPr>
      <w:r w:rsidRPr="00AF24E3">
        <w:rPr>
          <w:b/>
          <w:bCs/>
        </w:rPr>
        <w:t>Romero, José Luis.</w:t>
      </w:r>
      <w:r w:rsidRPr="00AF24E3">
        <w:t xml:space="preserve"> </w:t>
      </w:r>
      <w:r w:rsidRPr="00AF24E3">
        <w:rPr>
          <w:i/>
          <w:iCs/>
        </w:rPr>
        <w:t>La Edad Media. Panorama de la cultura medieval</w:t>
      </w:r>
      <w:r w:rsidRPr="00AF24E3">
        <w:t xml:space="preserve">. México: </w:t>
      </w:r>
      <w:r w:rsidRPr="00AF24E3">
        <w:t>Fondo de Cultura Económica, 1949 [2ª ed. 1951]. [Específicamente: Cap. II «La Alta Edad Media» y Cap. III «La Baja Edad Media», pp. 136-213.]</w:t>
      </w:r>
    </w:p>
    <w:p w14:paraId="43513054" w14:textId="77777777" w:rsidR="009A1405" w:rsidRPr="00AF24E3" w:rsidRDefault="00437FDA">
      <w:pPr>
        <w:spacing w:before="60" w:after="120" w:line="280" w:lineRule="auto"/>
        <w:jc w:val="both"/>
      </w:pPr>
      <w:r w:rsidRPr="00AF24E3">
        <w:rPr>
          <w:b/>
          <w:bCs/>
        </w:rPr>
        <w:t>Le Goff, Jacques.</w:t>
      </w:r>
      <w:r w:rsidRPr="00AF24E3">
        <w:t xml:space="preserve"> </w:t>
      </w:r>
      <w:r w:rsidRPr="00AF24E3">
        <w:rPr>
          <w:i/>
          <w:iCs/>
        </w:rPr>
        <w:t>Los intelectuales en la Edad Media</w:t>
      </w:r>
      <w:r w:rsidRPr="00AF24E3">
        <w:t>. Barcelona: Gedisa, 2008 [1ª ed. fr. 1957]. [Una 'historia de</w:t>
      </w:r>
      <w:r w:rsidRPr="00AF24E3">
        <w:t xml:space="preserve"> los sujetos y no de las instituciones'.]</w:t>
      </w:r>
    </w:p>
    <w:p w14:paraId="47B4D576" w14:textId="77777777" w:rsidR="009A1405" w:rsidRPr="00AF24E3" w:rsidRDefault="00437FDA">
      <w:pPr>
        <w:spacing w:before="60" w:after="120" w:line="280" w:lineRule="auto"/>
        <w:jc w:val="both"/>
      </w:pPr>
      <w:r w:rsidRPr="00AF24E3">
        <w:rPr>
          <w:b/>
          <w:bCs/>
          <w:lang w:val="pt-BR"/>
        </w:rPr>
        <w:t>Herrada de Hohenbourg.</w:t>
      </w:r>
      <w:r w:rsidRPr="00AF24E3">
        <w:rPr>
          <w:lang w:val="pt-BR"/>
        </w:rPr>
        <w:t xml:space="preserve"> </w:t>
      </w:r>
      <w:r w:rsidRPr="00AF24E3">
        <w:rPr>
          <w:i/>
          <w:iCs/>
          <w:lang w:val="pt-BR"/>
        </w:rPr>
        <w:t>Hortus deliciarum</w:t>
      </w:r>
      <w:r w:rsidRPr="00AF24E3">
        <w:rPr>
          <w:lang w:val="pt-BR"/>
        </w:rPr>
        <w:t xml:space="preserve">, c. 1175-1185. [Manuscrito ilustrado medieval. </w:t>
      </w:r>
      <w:r w:rsidRPr="00AF24E3">
        <w:t>Edición de referencia: Rosalie Green et al. (dirs.), Londres / Leiden: Warburg Institute / Brill, 1979, 2 vols. El original fu</w:t>
      </w:r>
      <w:r w:rsidRPr="00AF24E3">
        <w:t>e destruido en 1870.]</w:t>
      </w:r>
    </w:p>
    <w:p w14:paraId="69388239" w14:textId="77777777" w:rsidR="009A1405" w:rsidRPr="00AF24E3" w:rsidRDefault="00437FDA">
      <w:pPr>
        <w:spacing w:before="60" w:after="120" w:line="280" w:lineRule="auto"/>
        <w:jc w:val="both"/>
      </w:pPr>
      <w:r w:rsidRPr="00AF24E3">
        <w:t>Apuntes de cátedra sobre la escuela de Chartres, los goliardos y la teología de la deuda (Abelardo y Anselmo de Canterbury). [Fuentes complementarias de uso docente, Universidad.]</w:t>
      </w:r>
    </w:p>
    <w:p w14:paraId="1F01B5B5" w14:textId="77777777" w:rsidR="009A1405" w:rsidRPr="00AF24E3" w:rsidRDefault="00437FDA">
      <w:pPr>
        <w:pStyle w:val="Ttulo2"/>
        <w:rPr>
          <w:color w:val="auto"/>
        </w:rPr>
      </w:pPr>
      <w:r w:rsidRPr="00AF24E3">
        <w:rPr>
          <w:color w:val="auto"/>
        </w:rPr>
        <w:t>Bibliografía ampliatoria</w:t>
      </w:r>
    </w:p>
    <w:p w14:paraId="29F9BACD" w14:textId="77777777" w:rsidR="009A1405" w:rsidRPr="00AF24E3" w:rsidRDefault="00437FDA">
      <w:pPr>
        <w:spacing w:before="60" w:after="120" w:line="280" w:lineRule="auto"/>
        <w:jc w:val="both"/>
      </w:pPr>
      <w:r w:rsidRPr="00AF24E3">
        <w:rPr>
          <w:b/>
          <w:bCs/>
        </w:rPr>
        <w:lastRenderedPageBreak/>
        <w:t>Clanchy, Michael T.</w:t>
      </w:r>
      <w:r w:rsidRPr="00AF24E3">
        <w:t xml:space="preserve"> </w:t>
      </w:r>
      <w:r w:rsidRPr="00AF24E3">
        <w:rPr>
          <w:i/>
          <w:iCs/>
        </w:rPr>
        <w:t xml:space="preserve">Abelard: </w:t>
      </w:r>
      <w:r w:rsidRPr="00AF24E3">
        <w:rPr>
          <w:i/>
          <w:iCs/>
        </w:rPr>
        <w:t>A Medieval Life</w:t>
      </w:r>
      <w:r w:rsidRPr="00AF24E3">
        <w:t>. Oxford: Blackwell, 1997. [La biografía más rigurosa de Abelardo en inglés.]</w:t>
      </w:r>
    </w:p>
    <w:p w14:paraId="6CA40541" w14:textId="77777777" w:rsidR="009A1405" w:rsidRPr="00AF24E3" w:rsidRDefault="00437FDA">
      <w:pPr>
        <w:spacing w:before="60" w:after="120" w:line="280" w:lineRule="auto"/>
        <w:jc w:val="both"/>
      </w:pPr>
      <w:r w:rsidRPr="00AF24E3">
        <w:rPr>
          <w:b/>
          <w:bCs/>
          <w:lang w:val="en-GB"/>
        </w:rPr>
        <w:t>Southern, Richard W.</w:t>
      </w:r>
      <w:r w:rsidRPr="00AF24E3">
        <w:rPr>
          <w:lang w:val="en-GB"/>
        </w:rPr>
        <w:t xml:space="preserve"> </w:t>
      </w:r>
      <w:r w:rsidRPr="00AF24E3">
        <w:rPr>
          <w:i/>
          <w:iCs/>
          <w:lang w:val="en-GB"/>
        </w:rPr>
        <w:t>Scholastic Humanism and the Unification of Europe</w:t>
      </w:r>
      <w:r w:rsidRPr="00AF24E3">
        <w:rPr>
          <w:lang w:val="en-GB"/>
        </w:rPr>
        <w:t xml:space="preserve">, 2 vols. </w:t>
      </w:r>
      <w:r w:rsidRPr="00AF24E3">
        <w:t>Oxford: Blackwell, 1995-2001.</w:t>
      </w:r>
    </w:p>
    <w:p w14:paraId="5F80524F" w14:textId="77777777" w:rsidR="009A1405" w:rsidRPr="00AF24E3" w:rsidRDefault="00437FDA">
      <w:pPr>
        <w:spacing w:before="60" w:after="120" w:line="280" w:lineRule="auto"/>
        <w:jc w:val="both"/>
      </w:pPr>
      <w:r w:rsidRPr="00AF24E3">
        <w:rPr>
          <w:b/>
          <w:bCs/>
        </w:rPr>
        <w:t>Curtius, Ernst Robert.</w:t>
      </w:r>
      <w:r w:rsidRPr="00AF24E3">
        <w:t xml:space="preserve"> </w:t>
      </w:r>
      <w:r w:rsidRPr="00AF24E3">
        <w:rPr>
          <w:i/>
          <w:iCs/>
        </w:rPr>
        <w:t>Literatura europea y Edad Medi</w:t>
      </w:r>
      <w:r w:rsidRPr="00AF24E3">
        <w:rPr>
          <w:i/>
          <w:iCs/>
        </w:rPr>
        <w:t>a latina</w:t>
      </w:r>
      <w:r w:rsidRPr="00AF24E3">
        <w:t>. México: FCE, 1955. [El canon de autores escolares y la tradición retórica medieval.]</w:t>
      </w:r>
    </w:p>
    <w:p w14:paraId="6BB2EC4F" w14:textId="77777777" w:rsidR="009A1405" w:rsidRPr="00AF24E3" w:rsidRDefault="00437FDA">
      <w:pPr>
        <w:spacing w:before="60" w:after="120" w:line="280" w:lineRule="auto"/>
        <w:jc w:val="both"/>
      </w:pPr>
      <w:r w:rsidRPr="00AF24E3">
        <w:rPr>
          <w:b/>
          <w:bCs/>
        </w:rPr>
        <w:t>Grabmann, Martin.</w:t>
      </w:r>
      <w:r w:rsidRPr="00AF24E3">
        <w:t xml:space="preserve"> </w:t>
      </w:r>
      <w:r w:rsidRPr="00AF24E3">
        <w:rPr>
          <w:i/>
          <w:iCs/>
        </w:rPr>
        <w:t>Historia del método escolástico</w:t>
      </w:r>
      <w:r w:rsidRPr="00AF24E3">
        <w:t>, 2 vols. Barcelona: Labor, 1928. [Clásico sobre la formación de la escolástica.]</w:t>
      </w:r>
    </w:p>
    <w:p w14:paraId="371A6F62" w14:textId="77777777" w:rsidR="009A1405" w:rsidRPr="00AF24E3" w:rsidRDefault="00437FDA">
      <w:pPr>
        <w:spacing w:before="60" w:after="120" w:line="280" w:lineRule="auto"/>
        <w:jc w:val="both"/>
        <w:rPr>
          <w:lang w:val="en-GB"/>
        </w:rPr>
      </w:pPr>
      <w:r w:rsidRPr="00AF24E3">
        <w:rPr>
          <w:b/>
          <w:bCs/>
          <w:lang w:val="en-GB"/>
        </w:rPr>
        <w:t>Grant, Edward.</w:t>
      </w:r>
      <w:r w:rsidRPr="00AF24E3">
        <w:rPr>
          <w:lang w:val="en-GB"/>
        </w:rPr>
        <w:t xml:space="preserve"> </w:t>
      </w:r>
      <w:r w:rsidRPr="00AF24E3">
        <w:rPr>
          <w:i/>
          <w:iCs/>
          <w:lang w:val="en-GB"/>
        </w:rPr>
        <w:t xml:space="preserve">God and Reason </w:t>
      </w:r>
      <w:r w:rsidRPr="00AF24E3">
        <w:rPr>
          <w:i/>
          <w:iCs/>
          <w:lang w:val="en-GB"/>
        </w:rPr>
        <w:t>in the Middle Ages</w:t>
      </w:r>
      <w:r w:rsidRPr="00AF24E3">
        <w:rPr>
          <w:lang w:val="en-GB"/>
        </w:rPr>
        <w:t>. Cambridge: Cambridge University Press, 2001.</w:t>
      </w:r>
    </w:p>
    <w:p w14:paraId="705430CA" w14:textId="77777777" w:rsidR="009A1405" w:rsidRPr="00AF24E3" w:rsidRDefault="00437FDA">
      <w:pPr>
        <w:spacing w:before="60" w:after="120" w:line="280" w:lineRule="auto"/>
        <w:jc w:val="both"/>
      </w:pPr>
      <w:r w:rsidRPr="00AF24E3">
        <w:rPr>
          <w:b/>
          <w:bCs/>
          <w:lang w:val="en-GB"/>
        </w:rPr>
        <w:t>Stock, Brian.</w:t>
      </w:r>
      <w:r w:rsidRPr="00AF24E3">
        <w:rPr>
          <w:lang w:val="en-GB"/>
        </w:rPr>
        <w:t xml:space="preserve"> </w:t>
      </w:r>
      <w:r w:rsidRPr="00AF24E3">
        <w:rPr>
          <w:i/>
          <w:iCs/>
          <w:lang w:val="en-GB"/>
        </w:rPr>
        <w:t>The Implications of Literacy</w:t>
      </w:r>
      <w:r w:rsidRPr="00AF24E3">
        <w:rPr>
          <w:lang w:val="en-GB"/>
        </w:rPr>
        <w:t xml:space="preserve">. Princeton: Princeton University Press, 1983. </w:t>
      </w:r>
      <w:r w:rsidRPr="00AF24E3">
        <w:t>[Sobre las 'comunidades textuales' medievales.]</w:t>
      </w:r>
    </w:p>
    <w:p w14:paraId="2FB2DAA1" w14:textId="77777777" w:rsidR="009A1405" w:rsidRPr="00AF24E3" w:rsidRDefault="00437FDA">
      <w:pPr>
        <w:spacing w:before="60" w:after="120" w:line="280" w:lineRule="auto"/>
        <w:jc w:val="both"/>
      </w:pPr>
      <w:r w:rsidRPr="00AF24E3">
        <w:rPr>
          <w:b/>
          <w:bCs/>
        </w:rPr>
        <w:t>Leclercq, Jean.</w:t>
      </w:r>
      <w:r w:rsidRPr="00AF24E3">
        <w:t xml:space="preserve"> </w:t>
      </w:r>
      <w:r w:rsidRPr="00AF24E3">
        <w:rPr>
          <w:i/>
          <w:iCs/>
        </w:rPr>
        <w:t>L'amour des lettres et le désir de Die</w:t>
      </w:r>
      <w:r w:rsidRPr="00AF24E3">
        <w:rPr>
          <w:i/>
          <w:iCs/>
        </w:rPr>
        <w:t>u</w:t>
      </w:r>
      <w:r w:rsidRPr="00AF24E3">
        <w:t>. París: Cerf, 1957. [El contrapunto monástico al intelectual urbano.]</w:t>
      </w:r>
    </w:p>
    <w:p w14:paraId="18B1F7B1" w14:textId="77777777" w:rsidR="009A1405" w:rsidRPr="00AF24E3" w:rsidRDefault="00437FDA">
      <w:pPr>
        <w:spacing w:before="60" w:after="120" w:line="280" w:lineRule="auto"/>
        <w:jc w:val="both"/>
        <w:rPr>
          <w:lang w:val="en-GB"/>
        </w:rPr>
      </w:pPr>
      <w:r w:rsidRPr="00AF24E3">
        <w:rPr>
          <w:b/>
          <w:bCs/>
          <w:lang w:val="en-GB"/>
        </w:rPr>
        <w:t>Haskins, Charles Homer.</w:t>
      </w:r>
      <w:r w:rsidRPr="00AF24E3">
        <w:rPr>
          <w:lang w:val="en-GB"/>
        </w:rPr>
        <w:t xml:space="preserve"> </w:t>
      </w:r>
      <w:r w:rsidRPr="00AF24E3">
        <w:rPr>
          <w:i/>
          <w:iCs/>
          <w:lang w:val="en-GB"/>
        </w:rPr>
        <w:t>The Renaissance of the Twelfth Century</w:t>
      </w:r>
      <w:r w:rsidRPr="00AF24E3">
        <w:rPr>
          <w:lang w:val="en-GB"/>
        </w:rPr>
        <w:t>. Cambridge, MA: Harvard UP, 1927.</w:t>
      </w:r>
    </w:p>
    <w:p w14:paraId="0F3948E5" w14:textId="77777777" w:rsidR="009A1405" w:rsidRPr="00AF24E3" w:rsidRDefault="00437FDA">
      <w:pPr>
        <w:spacing w:before="60" w:after="120" w:line="280" w:lineRule="auto"/>
        <w:jc w:val="both"/>
      </w:pPr>
      <w:r w:rsidRPr="00AF24E3">
        <w:rPr>
          <w:b/>
          <w:bCs/>
          <w:lang w:val="en-GB"/>
        </w:rPr>
        <w:t>Benson, Robert L. y Constable, Giles (eds.).</w:t>
      </w:r>
      <w:r w:rsidRPr="00AF24E3">
        <w:rPr>
          <w:lang w:val="en-GB"/>
        </w:rPr>
        <w:t xml:space="preserve"> </w:t>
      </w:r>
      <w:r w:rsidRPr="00AF24E3">
        <w:rPr>
          <w:i/>
          <w:iCs/>
          <w:lang w:val="en-GB"/>
        </w:rPr>
        <w:t xml:space="preserve">Renaissance and Renewal in the Twelfth </w:t>
      </w:r>
      <w:r w:rsidRPr="00AF24E3">
        <w:rPr>
          <w:i/>
          <w:iCs/>
          <w:lang w:val="en-GB"/>
        </w:rPr>
        <w:t>Century</w:t>
      </w:r>
      <w:r w:rsidRPr="00AF24E3">
        <w:rPr>
          <w:lang w:val="en-GB"/>
        </w:rPr>
        <w:t xml:space="preserve">. </w:t>
      </w:r>
      <w:r w:rsidRPr="00AF24E3">
        <w:t>Cambridge, MA: Harvard UP, 1982.</w:t>
      </w:r>
    </w:p>
    <w:sectPr w:rsidR="009A1405" w:rsidRPr="00AF24E3">
      <w:headerReference w:type="default" r:id="rId7"/>
      <w:footerReference w:type="default" r:id="rId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424D5" w14:textId="77777777" w:rsidR="00437FDA" w:rsidRDefault="00437FDA">
      <w:r>
        <w:separator/>
      </w:r>
    </w:p>
  </w:endnote>
  <w:endnote w:type="continuationSeparator" w:id="0">
    <w:p w14:paraId="4BCA8A63" w14:textId="77777777" w:rsidR="00437FDA" w:rsidRDefault="0043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896B" w14:textId="625C8E3C" w:rsidR="009A1405" w:rsidRDefault="00437FDA">
    <w:pPr>
      <w:pBdr>
        <w:top w:val="single" w:sz="4" w:space="0" w:color="7B1C35"/>
      </w:pBdr>
      <w:jc w:val="center"/>
    </w:pPr>
    <w:r>
      <w:rPr>
        <w:color w:val="555555"/>
        <w:sz w:val="18"/>
        <w:szCs w:val="18"/>
      </w:rPr>
      <w:t xml:space="preserve">— </w:t>
    </w:r>
    <w:r>
      <w:rPr>
        <w:color w:val="555555"/>
        <w:sz w:val="18"/>
        <w:szCs w:val="18"/>
      </w:rPr>
      <w:fldChar w:fldCharType="begin"/>
    </w:r>
    <w:r>
      <w:rPr>
        <w:color w:val="555555"/>
        <w:sz w:val="18"/>
        <w:szCs w:val="18"/>
      </w:rPr>
      <w:instrText>PAGE</w:instrText>
    </w:r>
    <w:r w:rsidR="00AF24E3">
      <w:rPr>
        <w:color w:val="555555"/>
        <w:sz w:val="18"/>
        <w:szCs w:val="18"/>
      </w:rPr>
      <w:fldChar w:fldCharType="separate"/>
    </w:r>
    <w:r w:rsidR="005E66C3">
      <w:rPr>
        <w:noProof/>
        <w:color w:val="555555"/>
        <w:sz w:val="18"/>
        <w:szCs w:val="18"/>
      </w:rPr>
      <w:t>8</w:t>
    </w:r>
    <w:r>
      <w:rPr>
        <w:color w:val="555555"/>
        <w:sz w:val="18"/>
        <w:szCs w:val="18"/>
      </w:rPr>
      <w:fldChar w:fldCharType="end"/>
    </w:r>
    <w:r>
      <w:rPr>
        <w:color w:val="555555"/>
        <w:sz w:val="18"/>
        <w:szCs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444A4" w14:textId="77777777" w:rsidR="00437FDA" w:rsidRDefault="00437FDA">
      <w:r>
        <w:separator/>
      </w:r>
    </w:p>
  </w:footnote>
  <w:footnote w:type="continuationSeparator" w:id="0">
    <w:p w14:paraId="26109114" w14:textId="77777777" w:rsidR="00437FDA" w:rsidRDefault="00437F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AE4C8" w14:textId="77777777" w:rsidR="009A1405" w:rsidRDefault="00437FDA">
    <w:pPr>
      <w:pBdr>
        <w:bottom w:val="single" w:sz="4" w:space="0" w:color="7B1C35"/>
      </w:pBdr>
      <w:jc w:val="right"/>
    </w:pPr>
    <w:r>
      <w:rPr>
        <w:i/>
        <w:iCs/>
        <w:color w:val="555555"/>
        <w:sz w:val="18"/>
        <w:szCs w:val="18"/>
      </w:rPr>
      <w:t>El intelectual medieval: saberes, maestros y la ciudad como escuela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08"/>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405"/>
    <w:rsid w:val="00404DE2"/>
    <w:rsid w:val="00437FDA"/>
    <w:rsid w:val="00534A96"/>
    <w:rsid w:val="005E66C3"/>
    <w:rsid w:val="009A1405"/>
    <w:rsid w:val="00AF24E3"/>
    <w:rsid w:val="00FC2099"/>
    <w:rsid w:val="7EF67C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714F6"/>
  <w15:docId w15:val="{71254087-0D92-4AEF-8156-3D14C8BE2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qFormat="1"/>
    <w:lsdException w:name="caption" w:semiHidden="1" w:unhideWhenUsed="1" w:qFormat="1"/>
    <w:lsdException w:name="footnote reference" w:semiHidden="1" w:uiPriority="99" w:unhideWhenUsed="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Linotype" w:eastAsia="Palatino Linotype" w:hAnsi="Palatino Linotype" w:cs="Palatino Linotype"/>
      <w:sz w:val="22"/>
      <w:szCs w:val="22"/>
    </w:rPr>
  </w:style>
  <w:style w:type="paragraph" w:styleId="Ttulo1">
    <w:name w:val="heading 1"/>
    <w:next w:val="Normal"/>
    <w:qFormat/>
    <w:pPr>
      <w:spacing w:before="360" w:after="120"/>
      <w:outlineLvl w:val="0"/>
    </w:pPr>
    <w:rPr>
      <w:rFonts w:ascii="Palatino Linotype" w:eastAsia="Palatino Linotype" w:hAnsi="Palatino Linotype" w:cs="Palatino Linotype"/>
      <w:b/>
      <w:bCs/>
      <w:color w:val="4A0E1A"/>
      <w:sz w:val="34"/>
      <w:szCs w:val="34"/>
    </w:rPr>
  </w:style>
  <w:style w:type="paragraph" w:styleId="Ttulo2">
    <w:name w:val="heading 2"/>
    <w:next w:val="Normal"/>
    <w:qFormat/>
    <w:pPr>
      <w:spacing w:before="280" w:after="100"/>
      <w:outlineLvl w:val="1"/>
    </w:pPr>
    <w:rPr>
      <w:rFonts w:ascii="Palatino Linotype" w:eastAsia="Palatino Linotype" w:hAnsi="Palatino Linotype" w:cs="Palatino Linotype"/>
      <w:b/>
      <w:bCs/>
      <w:color w:val="7B1C35"/>
      <w:sz w:val="26"/>
      <w:szCs w:val="26"/>
    </w:rPr>
  </w:style>
  <w:style w:type="paragraph" w:styleId="Ttulo3">
    <w:name w:val="heading 3"/>
    <w:next w:val="Normal"/>
    <w:qFormat/>
    <w:pPr>
      <w:spacing w:before="200" w:after="80"/>
      <w:outlineLvl w:val="2"/>
    </w:pPr>
    <w:rPr>
      <w:rFonts w:ascii="Palatino Linotype" w:eastAsia="Palatino Linotype" w:hAnsi="Palatino Linotype" w:cs="Palatino Linotype"/>
      <w:b/>
      <w:bCs/>
      <w:i/>
      <w:iCs/>
      <w:color w:val="7A5C1E"/>
      <w:sz w:val="22"/>
      <w:szCs w:val="22"/>
    </w:rPr>
  </w:style>
  <w:style w:type="paragraph" w:styleId="Ttulo4">
    <w:name w:val="heading 4"/>
    <w:next w:val="Normal"/>
    <w:qFormat/>
    <w:pPr>
      <w:outlineLvl w:val="3"/>
    </w:pPr>
    <w:rPr>
      <w:rFonts w:ascii="Palatino Linotype" w:eastAsia="Palatino Linotype" w:hAnsi="Palatino Linotype" w:cs="Palatino Linotype"/>
      <w:i/>
      <w:iCs/>
      <w:color w:val="2E74B5"/>
      <w:sz w:val="22"/>
      <w:szCs w:val="22"/>
    </w:rPr>
  </w:style>
  <w:style w:type="paragraph" w:styleId="Ttulo5">
    <w:name w:val="heading 5"/>
    <w:next w:val="Normal"/>
    <w:qFormat/>
    <w:pPr>
      <w:outlineLvl w:val="4"/>
    </w:pPr>
    <w:rPr>
      <w:rFonts w:ascii="Palatino Linotype" w:eastAsia="Palatino Linotype" w:hAnsi="Palatino Linotype" w:cs="Palatino Linotype"/>
      <w:color w:val="2E74B5"/>
      <w:sz w:val="22"/>
      <w:szCs w:val="22"/>
    </w:rPr>
  </w:style>
  <w:style w:type="paragraph" w:styleId="Ttulo6">
    <w:name w:val="heading 6"/>
    <w:next w:val="Normal"/>
    <w:qFormat/>
    <w:pPr>
      <w:outlineLvl w:val="5"/>
    </w:pPr>
    <w:rPr>
      <w:rFonts w:ascii="Palatino Linotype" w:eastAsia="Palatino Linotype" w:hAnsi="Palatino Linotype" w:cs="Palatino Linotype"/>
      <w:color w:val="1F4D78"/>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uiPriority w:val="99"/>
    <w:semiHidden/>
    <w:unhideWhenUsed/>
    <w:rPr>
      <w:vertAlign w:val="superscript"/>
    </w:rPr>
  </w:style>
  <w:style w:type="character" w:styleId="Hipervnculo">
    <w:name w:val="Hyperlink"/>
    <w:uiPriority w:val="99"/>
    <w:unhideWhenUsed/>
    <w:qFormat/>
    <w:rPr>
      <w:color w:val="0563C1"/>
      <w:u w:val="single"/>
    </w:rPr>
  </w:style>
  <w:style w:type="paragraph" w:styleId="Textonotapie">
    <w:name w:val="footnote text"/>
    <w:link w:val="TextonotapieCar"/>
    <w:uiPriority w:val="99"/>
    <w:semiHidden/>
    <w:unhideWhenUsed/>
    <w:qFormat/>
    <w:rPr>
      <w:rFonts w:ascii="Palatino Linotype" w:eastAsia="Palatino Linotype" w:hAnsi="Palatino Linotype" w:cs="Palatino Linotype"/>
    </w:rPr>
  </w:style>
  <w:style w:type="paragraph" w:styleId="Ttulo">
    <w:name w:val="Title"/>
    <w:qFormat/>
    <w:rPr>
      <w:rFonts w:ascii="Palatino Linotype" w:eastAsia="Palatino Linotype" w:hAnsi="Palatino Linotype" w:cs="Palatino Linotype"/>
      <w:sz w:val="56"/>
      <w:szCs w:val="56"/>
    </w:rPr>
  </w:style>
  <w:style w:type="paragraph" w:styleId="Prrafodelista">
    <w:name w:val="List Paragraph"/>
    <w:qFormat/>
    <w:rPr>
      <w:rFonts w:ascii="Palatino Linotype" w:eastAsia="Palatino Linotype" w:hAnsi="Palatino Linotype" w:cs="Palatino Linotype"/>
      <w:sz w:val="22"/>
      <w:szCs w:val="22"/>
    </w:rPr>
  </w:style>
  <w:style w:type="character" w:customStyle="1" w:styleId="TextonotapieCar">
    <w:name w:val="Texto nota pie Car"/>
    <w:link w:val="Textonotapi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17</Pages>
  <Words>6601</Words>
  <Characters>36308</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x</cp:lastModifiedBy>
  <cp:revision>2</cp:revision>
  <dcterms:created xsi:type="dcterms:W3CDTF">2026-04-06T12:35:00Z</dcterms:created>
  <dcterms:modified xsi:type="dcterms:W3CDTF">2026-04-06T13:20:00Z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3082-12.2.0.23196</vt:lpwstr>
  </property>
  <property fmtid="{D5CDD505-2E9C-101B-9397-08002B2CF9AE}" pid="3" name="ICV">
    <vt:lpwstr>8E520C60138F47B494920113888AC8D7_13</vt:lpwstr>
  </property>
</Properties>
</file>