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03" w:rsidRPr="008B7E85" w:rsidRDefault="002D6CB9" w:rsidP="008B7E85">
      <w:pPr>
        <w:spacing w:after="80"/>
        <w:jc w:val="center"/>
        <w:rPr>
          <w:color w:val="auto"/>
        </w:rPr>
      </w:pPr>
      <w:r w:rsidRPr="008B7E85">
        <w:rPr>
          <w:b/>
          <w:bCs/>
          <w:color w:val="auto"/>
          <w:sz w:val="38"/>
          <w:szCs w:val="38"/>
        </w:rPr>
        <w:t>Paul Robin, la educación integral</w:t>
      </w:r>
    </w:p>
    <w:p w:rsidR="00994403" w:rsidRPr="008B7E85" w:rsidRDefault="002D6CB9" w:rsidP="008B7E85">
      <w:pPr>
        <w:spacing w:after="400"/>
        <w:jc w:val="center"/>
        <w:rPr>
          <w:color w:val="auto"/>
        </w:rPr>
      </w:pPr>
      <w:r w:rsidRPr="008B7E85">
        <w:rPr>
          <w:i/>
          <w:iCs/>
          <w:color w:val="auto"/>
          <w:sz w:val="32"/>
          <w:szCs w:val="32"/>
        </w:rPr>
        <w:t>y el acto de narrar la experiencia (1880-1900)</w:t>
      </w:r>
    </w:p>
    <w:p w:rsidR="00994403" w:rsidRPr="008B7E85" w:rsidRDefault="002D6CB9" w:rsidP="008B7E85">
      <w:pPr>
        <w:pStyle w:val="Ttulo2"/>
        <w:spacing w:before="360" w:after="140"/>
        <w:rPr>
          <w:color w:val="auto"/>
        </w:rPr>
      </w:pPr>
      <w:r w:rsidRPr="008B7E85">
        <w:rPr>
          <w:b/>
          <w:bCs/>
          <w:color w:val="auto"/>
          <w:sz w:val="27"/>
          <w:szCs w:val="27"/>
        </w:rPr>
        <w:t xml:space="preserve">I. </w:t>
      </w:r>
      <w:r w:rsidR="005C3D4F">
        <w:rPr>
          <w:b/>
          <w:bCs/>
          <w:color w:val="auto"/>
          <w:sz w:val="27"/>
          <w:szCs w:val="27"/>
        </w:rPr>
        <w:t xml:space="preserve">Escribir la </w:t>
      </w:r>
      <w:r w:rsidRPr="008B7E85">
        <w:rPr>
          <w:b/>
          <w:bCs/>
          <w:color w:val="auto"/>
          <w:sz w:val="27"/>
          <w:szCs w:val="27"/>
        </w:rPr>
        <w:t>experiencia</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E</w:t>
      </w:r>
      <w:r w:rsidR="005C3D4F">
        <w:rPr>
          <w:color w:val="auto"/>
        </w:rPr>
        <w:t>n e</w:t>
      </w:r>
      <w:r w:rsidRPr="008B7E85">
        <w:rPr>
          <w:color w:val="auto"/>
        </w:rPr>
        <w:t xml:space="preserve">l documento </w:t>
      </w:r>
      <w:r w:rsidR="005C3D4F">
        <w:rPr>
          <w:color w:val="auto"/>
        </w:rPr>
        <w:t xml:space="preserve">anterior nos referimos al </w:t>
      </w:r>
      <w:r w:rsidRPr="008B7E85">
        <w:rPr>
          <w:color w:val="auto"/>
        </w:rPr>
        <w:t>Asilo Prévost de Cempuis como prueba de que la educación integral podía pasar del debate teórico a la práctica cotidiana. Conviene ahora detenerse en esa experiencia, no solo por lo que ocurrió entre sus muros durante catorce años, sino por algo que el caso de Paul Robin plantea con una nitidez poco frecuente: la relación entre vivir una experiencia educativa y escribirla. Cempuis no fue únicamente una escuela. Fue un dispositivo que produjo, de manera continua, su propio relato; un lugar donde el acto de educar y el acto de narrar lo que se educaba resultaron inseparables.</w:t>
      </w:r>
    </w:p>
    <w:p w:rsidR="00994403" w:rsidRPr="008B7E85" w:rsidRDefault="002D6CB9" w:rsidP="008B7E85">
      <w:pPr>
        <w:spacing w:after="160"/>
        <w:ind w:firstLine="720"/>
        <w:jc w:val="both"/>
        <w:rPr>
          <w:color w:val="auto"/>
        </w:rPr>
      </w:pPr>
      <w:r w:rsidRPr="008B7E85">
        <w:rPr>
          <w:color w:val="auto"/>
        </w:rPr>
        <w:t>Esta inseparabilidad no es un detalle anecdótico. La serie ha venido sosteniendo —desde el primer texto sobre Yasnaia Poliana— que ciertas experiencias pedagógicas funcionan como 'teatro visible' de una verdad, y que el educador que las sostiene hace de su práctica una forma de escritura de sí. Tolstoi escribió su escuela; los obreros autodidactas escribieron sus noches de estudio; Robin, a su modo, escribió Cempuis. Pero lo hizo con una particularidad: la escritura de su experiencia no quedó en sus manos. Fue continuada, completada y en buena medida fijada para la posteridad por uno de los propios alumnos del orfanato, Gabriel Giroud, que terminó siendo su yerno y su biógrafo. La experiencia de Cempuis se escribió, literalmente, desde dentro.</w:t>
      </w:r>
    </w:p>
    <w:p w:rsidR="00994403" w:rsidRPr="008B7E85" w:rsidRDefault="002D6CB9" w:rsidP="008B7E85">
      <w:pPr>
        <w:pStyle w:val="Ttulo2"/>
        <w:spacing w:before="360" w:after="140"/>
        <w:rPr>
          <w:color w:val="auto"/>
        </w:rPr>
      </w:pPr>
      <w:r w:rsidRPr="008B7E85">
        <w:rPr>
          <w:b/>
          <w:bCs/>
          <w:color w:val="auto"/>
          <w:sz w:val="27"/>
          <w:szCs w:val="27"/>
        </w:rPr>
        <w:t>II. Del aula prohibida al orfanato. La cadena que lleva a Cempuis</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Paul Robin nació en Tolón el 3 de abril de 1837, en una familia burguesa, católica y patriótica. Estudió en los liceos de Burdeos y Brest y fue alumno de la École Normale Supérieure entre 1858 y 1861; se formó como darwinista y ateo, y enseñó ciencias físicas y naturales. Su trayectoria política lo llevó a la Asociación Internacional de Trabajadores, a la Liga de la Enseñanza de Bruselas y a los congresos internacionalistas de 1868 y 1869, donde defendió mociones a favor de la enseñanza integral. Expulsado de Bélgica por su apoyo a una huelga, vivió exiliado en Ginebra —donde estrechó lazos con Bakunin— y en Londres, enseñando francés en la Academia Militar de Woolwich. Durante toda esa década fue elaborando sus ideas pedagógicas.</w:t>
      </w:r>
      <w:r w:rsidRPr="008B7E85">
        <w:rPr>
          <w:rStyle w:val="Refdenotaalpie"/>
          <w:color w:val="auto"/>
        </w:rPr>
        <w:footnoteReference w:id="1"/>
      </w:r>
    </w:p>
    <w:p w:rsidR="00994403" w:rsidRPr="008B7E85" w:rsidRDefault="002D6CB9" w:rsidP="008B7E85">
      <w:pPr>
        <w:spacing w:after="160"/>
        <w:ind w:firstLine="720"/>
        <w:jc w:val="both"/>
        <w:rPr>
          <w:color w:val="auto"/>
        </w:rPr>
      </w:pPr>
      <w:r w:rsidRPr="008B7E85">
        <w:rPr>
          <w:color w:val="auto"/>
        </w:rPr>
        <w:t>El modo en que llegó a Cempuis dice mucho sobre las redes de la pedagogía libertaria europea. Fue James Guillaume —el mismo historiador suizo que esta serie ya encon</w:t>
      </w:r>
      <w:r w:rsidR="00765BD2">
        <w:rPr>
          <w:color w:val="auto"/>
        </w:rPr>
        <w:t>tró como biógrafo de Pestalozzi</w:t>
      </w:r>
      <w:r w:rsidRPr="008B7E85">
        <w:rPr>
          <w:color w:val="auto"/>
        </w:rPr>
        <w:t xml:space="preserve">— quien pidió a Ferdinand Buisson, entonces responsable de la enseñanza </w:t>
      </w:r>
      <w:r w:rsidRPr="008B7E85">
        <w:rPr>
          <w:color w:val="auto"/>
        </w:rPr>
        <w:lastRenderedPageBreak/>
        <w:t xml:space="preserve">primaria en Francia, que buscara un puesto para Robin. Buisson, sensible a las concepciones sobre educación integral que Robin había desarrollado en el </w:t>
      </w:r>
      <w:r w:rsidRPr="008B7E85">
        <w:rPr>
          <w:i/>
          <w:iCs/>
          <w:color w:val="auto"/>
        </w:rPr>
        <w:t>Dictionnaire de pédagogie</w:t>
      </w:r>
      <w:r w:rsidRPr="008B7E85">
        <w:rPr>
          <w:color w:val="auto"/>
        </w:rPr>
        <w:t>, le confió en diciembre de 1880 la dirección del orfanato que el sansimoniano Joseph-Gabriel Prévost había fundado en 1861 y dotado en su testamento. La continuidad de esta serie no es solo temática: las mismas personas aparecen una y otra vez, tejiendo la red europea de la educación nueva.</w:t>
      </w:r>
      <w:r w:rsidRPr="008B7E85">
        <w:rPr>
          <w:rStyle w:val="Refdenotaalpie"/>
          <w:color w:val="auto"/>
        </w:rPr>
        <w:footnoteReference w:id="2"/>
      </w:r>
      <w:r w:rsidRPr="008B7E85">
        <w:rPr>
          <w:rStyle w:val="Refdenotaalpie"/>
          <w:color w:val="auto"/>
        </w:rPr>
        <w:footnoteReference w:id="3"/>
      </w:r>
    </w:p>
    <w:p w:rsidR="00994403" w:rsidRPr="008B7E85" w:rsidRDefault="002D6CB9" w:rsidP="008B7E85">
      <w:pPr>
        <w:spacing w:after="160"/>
        <w:ind w:firstLine="720"/>
        <w:jc w:val="both"/>
        <w:rPr>
          <w:color w:val="auto"/>
        </w:rPr>
      </w:pPr>
      <w:r w:rsidRPr="008B7E85">
        <w:rPr>
          <w:color w:val="auto"/>
        </w:rPr>
        <w:t>La elección del lugar no fue indiferente para Robin. Un orfanato era, a sus ojos, el espacio ideal para aplicar la educación integral, porque se trataba de una escuela-hogar: una institución donde la vida entera del niño —y no solo sus horas de clase— quedaba bajo un mismo principio pedagógico. La integralidad no era solo integralidad de contenidos, sino integralidad de tiempo y de espacio. Cempuis sería 'la gran familia de Cempuis', según una expresión que Robin cultivó deliberadamente.</w:t>
      </w:r>
    </w:p>
    <w:p w:rsidR="00994403" w:rsidRPr="008B7E85" w:rsidRDefault="002D6CB9" w:rsidP="008B7E85">
      <w:pPr>
        <w:pStyle w:val="Ttulo2"/>
        <w:spacing w:before="360" w:after="140"/>
        <w:rPr>
          <w:color w:val="auto"/>
        </w:rPr>
      </w:pPr>
      <w:r w:rsidRPr="008B7E85">
        <w:rPr>
          <w:b/>
          <w:bCs/>
          <w:color w:val="auto"/>
          <w:sz w:val="27"/>
          <w:szCs w:val="27"/>
        </w:rPr>
        <w:t>III. El Manifiesto: escribir los principios antes de la experiencia</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 xml:space="preserve">Antes de Cempuis, Robin ya había escrito su pedagogía. El </w:t>
      </w:r>
      <w:r w:rsidRPr="008B7E85">
        <w:rPr>
          <w:i/>
          <w:iCs/>
          <w:color w:val="auto"/>
        </w:rPr>
        <w:t>Manifiesto sobre la educación integral</w:t>
      </w:r>
      <w:r w:rsidRPr="008B7E85">
        <w:rPr>
          <w:color w:val="auto"/>
        </w:rPr>
        <w:t>, formulado hacia 1869-1870, es el documento donde estableció los principios que más tarde llevaría a la práctica. La crítica de Robin partía de la instrucción popular de su época, que a su juicio solo daba al niño del pueblo 'unas nociones elementales' inútiles para la vida práctica, al tiempo que le imponía creencias místicas que falseaban su entendimiento y lo encadenaban al estado de cosas existente. La distinción de clases, sostenía, se apoyaba sobre la desigualdad ante los medios educativos: la burguesía accedía a la ciencia, el pueblo solo al trabajo.</w:t>
      </w:r>
      <w:r w:rsidRPr="008B7E85">
        <w:rPr>
          <w:rStyle w:val="Refdenotaalpie"/>
          <w:color w:val="auto"/>
        </w:rPr>
        <w:footnoteReference w:id="4"/>
      </w:r>
    </w:p>
    <w:p w:rsidR="00994403" w:rsidRPr="008B7E85" w:rsidRDefault="002D6CB9" w:rsidP="008B7E85">
      <w:pPr>
        <w:spacing w:after="160"/>
        <w:ind w:firstLine="720"/>
        <w:jc w:val="both"/>
        <w:rPr>
          <w:color w:val="auto"/>
        </w:rPr>
      </w:pPr>
      <w:r w:rsidRPr="008B7E85">
        <w:rPr>
          <w:color w:val="auto"/>
        </w:rPr>
        <w:t>Frente a esto, Robin proponía unir ciencia y trabajo. La instrucción integral debía permitir a cada individuo adquirir todos los conocimientos científicos y profesionales, teóricos y prácticos, que sus aptitudes le permitieran. Para condensar la idea, recurría a una imagen escrita memorable: la del campo del saber humano representado como una superficie indefinida, atravesada por líneas radiales —las ciencias— que parten de un punto central, la ignorancia provisional del niño pequeño. La instrucción integral era un pequeño círculo, entero pero estrecho, que se dilata 'semejante a las bellas ondas circulares que se ven extenderse en la superficie de las aguas tranquilas'. Esa imagen, decía Robin, era la traducción exacta de la palabra acuñada por los enciclopedistas: enciclopedia, 'instrucción en círculo'.</w:t>
      </w:r>
    </w:p>
    <w:p w:rsidR="00994403" w:rsidRPr="008B7E85" w:rsidRDefault="002D6CB9" w:rsidP="008B7E85">
      <w:pPr>
        <w:pBdr>
          <w:left w:val="single" w:sz="6" w:space="12" w:color="5A7A3E"/>
        </w:pBdr>
        <w:spacing w:before="200" w:after="200"/>
        <w:ind w:left="720" w:right="360"/>
        <w:jc w:val="both"/>
        <w:rPr>
          <w:color w:val="auto"/>
        </w:rPr>
      </w:pPr>
      <w:r w:rsidRPr="008B7E85">
        <w:rPr>
          <w:i/>
          <w:iCs/>
          <w:color w:val="auto"/>
          <w:sz w:val="20"/>
          <w:szCs w:val="20"/>
        </w:rPr>
        <w:t>El programa correspondiente a esta idea puede resumirse en una palabra: todo. Toda la ciencia y todo el arte, no vagas luces, sino sólidas nociones, precisas, por muy elementales que sean.</w:t>
      </w:r>
    </w:p>
    <w:p w:rsidR="00994403" w:rsidRPr="008B7E85" w:rsidRDefault="002D6CB9" w:rsidP="008B7E85">
      <w:pPr>
        <w:spacing w:after="160"/>
        <w:ind w:firstLine="720"/>
        <w:jc w:val="both"/>
        <w:rPr>
          <w:color w:val="auto"/>
        </w:rPr>
      </w:pPr>
      <w:r w:rsidRPr="008B7E85">
        <w:rPr>
          <w:color w:val="auto"/>
        </w:rPr>
        <w:lastRenderedPageBreak/>
        <w:t>La especialización temprana, sin base de instrucción general, era para Robin 'la forma moderna de la esclavitud': producía 'seres instintivos, incapaces de razonar', máquinas y no hombres. Pero —y aquí aparece un gesto de escritura característico— Robin se cuidaba de aclarar que esa división de la materia en educación física, intelectual y moral 'no es más que un procedimiento metódico'. El pensamiento debía volver siempre 'de lo particular a lo general, del punto de vista analítico a la síntesis'. La escritura del programa imponía un orden que la experiencia debía después disolver en su unidad viva.</w:t>
      </w:r>
    </w:p>
    <w:p w:rsidR="00994403" w:rsidRPr="008B7E85" w:rsidRDefault="002D6CB9" w:rsidP="008B7E85">
      <w:pPr>
        <w:pStyle w:val="Ttulo2"/>
        <w:spacing w:before="360" w:after="140"/>
        <w:rPr>
          <w:color w:val="auto"/>
        </w:rPr>
      </w:pPr>
      <w:r w:rsidRPr="008B7E85">
        <w:rPr>
          <w:b/>
          <w:bCs/>
          <w:color w:val="auto"/>
          <w:sz w:val="27"/>
          <w:szCs w:val="27"/>
        </w:rPr>
        <w:t>IV. Catorce años de práctica: el orfanato como mundo</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Entre 1880 y 1894, más de seiscientos niños pasaron por Cempuis. Robin organizó allí una vida escolar que aún hoy sorprende por su amplitud. Las clases se daban al aire libre cuando era posible; la higiene y la limpieza ocupaban el centro de las preocupaciones; el régimen alimenticio era 'abundante, simple y un poco rústico, aunque variado', con exclusión de excitantes y vinos. La enseñanza intelectual se basaba en el método experimental: no memorizar, sino observar, experimentar y descubrir. La historia se enseñaba no bajo el enfoque patriótico y militarista habitual, sino como la historia de los pueblos, en la que la guerra es un daño para los pobres.</w:t>
      </w:r>
      <w:r w:rsidRPr="008B7E85">
        <w:rPr>
          <w:rStyle w:val="Refdenotaalpie"/>
          <w:color w:val="auto"/>
        </w:rPr>
        <w:footnoteReference w:id="5"/>
      </w:r>
    </w:p>
    <w:p w:rsidR="00994403" w:rsidRPr="008B7E85" w:rsidRDefault="002D6CB9" w:rsidP="008B7E85">
      <w:pPr>
        <w:spacing w:after="160"/>
        <w:ind w:firstLine="720"/>
        <w:jc w:val="both"/>
        <w:rPr>
          <w:color w:val="auto"/>
        </w:rPr>
      </w:pPr>
      <w:r w:rsidRPr="008B7E85">
        <w:rPr>
          <w:color w:val="auto"/>
        </w:rPr>
        <w:t>Los trabajos manuales eran obligatorios para niños y niñas. A partir de los doce años, los alumnos recorrían los diecinueve talleres del establecimiento —de la panadería a la imprenta, de la fotografía a la mampostería, de la costura al trabajo en metales— para adquirir lo que Robin llamaba la 'habilidad general de la mano' antes de elegir un oficio. Esos talleres no eran meramente ilustrativos: producían lo necesario para alimentar y sostener a las cerca de doscientas personas del centro, y alcanzaban cierta autonomía financiera. En verano, los niños pasaban dos meses en el mar. No había premios ni castigos: se evitaba deliberadamente la competición.</w:t>
      </w:r>
    </w:p>
    <w:p w:rsidR="00994403" w:rsidRPr="008B7E85" w:rsidRDefault="002D6CB9" w:rsidP="008B7E85">
      <w:pPr>
        <w:spacing w:after="160"/>
        <w:ind w:firstLine="720"/>
        <w:jc w:val="both"/>
        <w:rPr>
          <w:color w:val="auto"/>
        </w:rPr>
      </w:pPr>
      <w:r w:rsidRPr="008B7E85">
        <w:rPr>
          <w:color w:val="auto"/>
        </w:rPr>
        <w:t>Dos rasgos provocaron escándalo. El primero fue la coeducación de los sexos: niñas y niños educados juntos, 'como en las familias naturales'. Fue la primera escuela mixta francesa, y eso bastó para convertirla en blanco de los sectores conservadores. El segundo, más paradójico, fue el batallón escolar militar, con ejercicios de tiro real. Robin, que educaba para la fraternidad internacional y aborrecía la guerra, lo justificaba con el argumento de que era preciso saber defenderse y de que el mejor ejército no es el profesional sino el de los ciudadanos armados. La tensión entre el pacifismo declarado y el batallón armado es una de las grietas más reveladoras de la experiencia, y muestra hasta qué punto Robin pensaba la educación como preparación para una sociedad en conflicto.</w:t>
      </w:r>
      <w:r w:rsidRPr="008B7E85">
        <w:rPr>
          <w:rStyle w:val="Refdenotaalpie"/>
          <w:color w:val="auto"/>
        </w:rPr>
        <w:footnoteReference w:id="6"/>
      </w:r>
    </w:p>
    <w:p w:rsidR="00765BD2" w:rsidRDefault="00765BD2" w:rsidP="008B7E85">
      <w:pPr>
        <w:pStyle w:val="Ttulo2"/>
        <w:spacing w:before="360" w:after="140"/>
        <w:rPr>
          <w:b/>
          <w:bCs/>
          <w:color w:val="auto"/>
          <w:sz w:val="27"/>
          <w:szCs w:val="27"/>
        </w:rPr>
      </w:pPr>
    </w:p>
    <w:p w:rsidR="00994403" w:rsidRPr="008B7E85" w:rsidRDefault="002D6CB9" w:rsidP="008B7E85">
      <w:pPr>
        <w:pStyle w:val="Ttulo2"/>
        <w:spacing w:before="360" w:after="140"/>
        <w:rPr>
          <w:color w:val="auto"/>
        </w:rPr>
      </w:pPr>
      <w:r w:rsidRPr="008B7E85">
        <w:rPr>
          <w:b/>
          <w:bCs/>
          <w:color w:val="auto"/>
          <w:sz w:val="27"/>
          <w:szCs w:val="27"/>
        </w:rPr>
        <w:lastRenderedPageBreak/>
        <w:t>V. El Bulletin de Cempuis: la escritura como práctica institucional</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 xml:space="preserve">Aquí llegamos al núcleo de lo que distingue a Cempuis. El orfanato no se limitó a funcionar: se documentó a sí mismo de manera sistemática. El </w:t>
      </w:r>
      <w:r w:rsidRPr="008B7E85">
        <w:rPr>
          <w:i/>
          <w:iCs/>
          <w:color w:val="auto"/>
        </w:rPr>
        <w:t>Bulletin de l'Orphelinat Prévost</w:t>
      </w:r>
      <w:r w:rsidRPr="008B7E85">
        <w:rPr>
          <w:color w:val="auto"/>
        </w:rPr>
        <w:t xml:space="preserve"> fue el órgano donde la experiencia se registraba, se argumentaba y se defendía ante el mundo exterior. La imprenta del establecimiento —uno de los diecinueve talleres— no era un detalle técnico: era el instrumento material que permitía que la escuela escribiera y publicara su propia vida. Los niños que componían tipos en el taller de imprenta estaban, sin saberlo del todo, produciendo el archivo de su propia educación.</w:t>
      </w:r>
      <w:r w:rsidRPr="008B7E85">
        <w:rPr>
          <w:rStyle w:val="Refdenotaalpie"/>
          <w:color w:val="auto"/>
        </w:rPr>
        <w:footnoteReference w:id="7"/>
      </w:r>
    </w:p>
    <w:p w:rsidR="00994403" w:rsidRPr="008B7E85" w:rsidRDefault="002D6CB9" w:rsidP="008B7E85">
      <w:pPr>
        <w:spacing w:after="160"/>
        <w:ind w:firstLine="720"/>
        <w:jc w:val="both"/>
        <w:rPr>
          <w:color w:val="auto"/>
        </w:rPr>
      </w:pPr>
      <w:r w:rsidRPr="008B7E85">
        <w:rPr>
          <w:color w:val="auto"/>
        </w:rPr>
        <w:t>Esta dimensión escrituraria tiene una consecuencia historiográfica importante. Gran parte de lo que sabemos de Cempuis procede de 'los documentos oficiales y las publicaciones del establecimiento', según la fórmula que el propio Gabriel Giroud usó como subtítulo de su libro de 1900. La experiencia se nos transmite ya escrita, ya elaborada, ya defendida. No accedemos a un Cempuis crudo, anterior al relato: accedemos al Cempuis que sus protagonistas quisieron y supieron narrar. Esto no resta valor a la fuente; al contrario, la vuelve más interesante, porque nos obliga a leer la experiencia y su escritura como un solo gesto.</w:t>
      </w:r>
    </w:p>
    <w:p w:rsidR="00994403" w:rsidRPr="008B7E85" w:rsidRDefault="002D6CB9" w:rsidP="008B7E85">
      <w:pPr>
        <w:spacing w:after="160"/>
        <w:ind w:firstLine="720"/>
        <w:jc w:val="both"/>
        <w:rPr>
          <w:color w:val="auto"/>
        </w:rPr>
      </w:pPr>
      <w:r w:rsidRPr="008B7E85">
        <w:rPr>
          <w:color w:val="auto"/>
        </w:rPr>
        <w:t>Existe, además, una distinción que los estudiosos de Robin han señalado y que resulta central para esta serie: la articulación entre los relatos de lo experimentado y la escritura teórica elaborada después. La teoría educativa de Robin no precedió simplemente a la práctica, ni se dedujo simplemente de ella. Las dos se corrigieron mutuamente. El Manifiesto de 1869 fijó los principios; los catorce años de Cempuis los pusieron a prueba; y la escritura posterior —el Bulletin, los textos de 1900, la biografía de Giroud— reelaboró la teoría a la luz de lo que la práctica había enseñado. Escribir la experiencia no era informar sobre algo ya terminado: era parte del propio proceso de pensar la educación.</w:t>
      </w:r>
    </w:p>
    <w:p w:rsidR="00994403" w:rsidRPr="008B7E85" w:rsidRDefault="002D6CB9" w:rsidP="008B7E85">
      <w:pPr>
        <w:pStyle w:val="Ttulo2"/>
        <w:spacing w:before="360" w:after="140"/>
        <w:rPr>
          <w:color w:val="auto"/>
        </w:rPr>
      </w:pPr>
      <w:r w:rsidRPr="008B7E85">
        <w:rPr>
          <w:b/>
          <w:bCs/>
          <w:color w:val="auto"/>
          <w:sz w:val="27"/>
          <w:szCs w:val="27"/>
        </w:rPr>
        <w:t>VI. Gabriel Giroud: cuando el alumno escribe al maestro</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 xml:space="preserve">Gabriel Giroud fue alumno del orfanato; se formó en él desde niño. Andando el tiempo se casó con Lucie, la hija de Paul Robin —un matrimonio entre dos antiguos compañeros que la prensa cempuisiana celebró como 'uno de los resultados que producirá muy probablemente la coeducación mixta', el cumplimiento simbólico de la educación comunitaria del orfanato. Y fue Giroud quien escribió, en 1900, </w:t>
      </w:r>
      <w:r w:rsidRPr="008B7E85">
        <w:rPr>
          <w:i/>
          <w:iCs/>
          <w:color w:val="auto"/>
        </w:rPr>
        <w:t>Cempuis: éducation intégrale</w:t>
      </w:r>
      <w:r w:rsidRPr="008B7E85">
        <w:rPr>
          <w:color w:val="auto"/>
        </w:rPr>
        <w:t>, la obra que fijó la memoria de la experiencia.</w:t>
      </w:r>
      <w:r w:rsidRPr="008B7E85">
        <w:rPr>
          <w:rStyle w:val="Refdenotaalpie"/>
          <w:color w:val="auto"/>
        </w:rPr>
        <w:footnoteReference w:id="8"/>
      </w:r>
    </w:p>
    <w:p w:rsidR="00994403" w:rsidRPr="008B7E85" w:rsidRDefault="002D6CB9" w:rsidP="008B7E85">
      <w:pPr>
        <w:spacing w:after="160"/>
        <w:ind w:firstLine="720"/>
        <w:jc w:val="both"/>
        <w:rPr>
          <w:color w:val="auto"/>
        </w:rPr>
      </w:pPr>
      <w:r w:rsidRPr="008B7E85">
        <w:rPr>
          <w:color w:val="auto"/>
        </w:rPr>
        <w:lastRenderedPageBreak/>
        <w:t>Que sea un antiguo alumno quien escribe la historia de la escuela invierte la dirección habitual del relato pedagógico. No es el maestro quien narra a sus discípulos; es el discípulo quien narra al maestro y a la institución que lo formó. La escritura de Cempuis se cierra sobre sí misma: el orfanato produjo, entre otros frutos, al escritor capaz de contarlo. Giroud no era un observador externo, sino un producto de la coeducación que describía; su mirada estaba formada por la misma experiencia que reconstruía. La objetividad, en este caso, es menos importante que la pertenencia. La experiencia se escribe desde el interior de la vida que la hizo posible.</w:t>
      </w:r>
    </w:p>
    <w:p w:rsidR="00994403" w:rsidRPr="008B7E85" w:rsidRDefault="002D6CB9" w:rsidP="008B7E85">
      <w:pPr>
        <w:spacing w:after="160"/>
        <w:ind w:firstLine="720"/>
        <w:jc w:val="both"/>
        <w:rPr>
          <w:color w:val="auto"/>
        </w:rPr>
      </w:pPr>
      <w:r w:rsidRPr="008B7E85">
        <w:rPr>
          <w:color w:val="auto"/>
        </w:rPr>
        <w:t>Esta inversión es coherente con la convicción más profunda de Robin, sintetizada por Félix García Moriyón a propósito de toda la tradición libertaria: la educación es una tarea política, y la política es una actividad educativa. Un cambio social radical, escribe García Moriyón, no se produce por tomar el poder, sino que es 'el resultado de un largo proceso pedagógico' en el que las personas aprenden a ser libres y solidarias antes y durante la transformación, no después. Cempuis fue exactamente eso: no la preparación para una sociedad futura, sino el ensayo presente de las relaciones que esa sociedad debía tener. Y el Bulletin, la imprenta, el libro de Giroud, fueron el modo en que ese ensayo se hizo legible, comunicable, transmisible.</w:t>
      </w:r>
      <w:r w:rsidRPr="008B7E85">
        <w:rPr>
          <w:rStyle w:val="Refdenotaalpie"/>
          <w:color w:val="auto"/>
        </w:rPr>
        <w:footnoteReference w:id="9"/>
      </w:r>
    </w:p>
    <w:p w:rsidR="00994403" w:rsidRPr="008B7E85" w:rsidRDefault="002D6CB9" w:rsidP="008B7E85">
      <w:pPr>
        <w:pStyle w:val="Ttulo2"/>
        <w:spacing w:before="360" w:after="140"/>
        <w:rPr>
          <w:color w:val="auto"/>
        </w:rPr>
      </w:pPr>
      <w:r w:rsidRPr="008B7E85">
        <w:rPr>
          <w:b/>
          <w:bCs/>
          <w:color w:val="auto"/>
          <w:sz w:val="27"/>
          <w:szCs w:val="27"/>
        </w:rPr>
        <w:t>VII. El final: la escritura contra la escritura</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 xml:space="preserve">La experiencia terminó por escrito, también, pero en una escritura adversa. Desde 1881 se sucedieron campañas de prensa contra Robin y el orfanato, acusándolo de impartir una educación inmoral, internacionalista y anticristiana. En 1894, una campaña especialmente virulenta del diario </w:t>
      </w:r>
      <w:r w:rsidRPr="008B7E85">
        <w:rPr>
          <w:i/>
          <w:iCs/>
          <w:color w:val="auto"/>
        </w:rPr>
        <w:t>La Libre Parole</w:t>
      </w:r>
      <w:r w:rsidRPr="008B7E85">
        <w:rPr>
          <w:color w:val="auto"/>
        </w:rPr>
        <w:t xml:space="preserve"> logró su objetivo: Robin fue acusado de maltusianismo y antipatriotismo, y destituido de la dirección. El escritor Octave Mirbeau salió en su defensa, denunciando la colusión entre los políticos corruptos y la Iglesia retrógrada. La batalla por Cempuis fue, en buena medida, una batalla entre escrituras: el Bulletin del orfanato contra la prensa clerical y nacionalista, el relato de la experiencia contra el relato del escándalo.</w:t>
      </w:r>
      <w:r w:rsidRPr="008B7E85">
        <w:rPr>
          <w:rStyle w:val="Refdenotaalpie"/>
          <w:color w:val="auto"/>
        </w:rPr>
        <w:footnoteReference w:id="10"/>
      </w:r>
    </w:p>
    <w:p w:rsidR="00994403" w:rsidRPr="008B7E85" w:rsidRDefault="002D6CB9" w:rsidP="008B7E85">
      <w:pPr>
        <w:spacing w:after="160"/>
        <w:ind w:firstLine="720"/>
        <w:jc w:val="both"/>
        <w:rPr>
          <w:color w:val="auto"/>
        </w:rPr>
      </w:pPr>
      <w:r w:rsidRPr="008B7E85">
        <w:rPr>
          <w:color w:val="auto"/>
        </w:rPr>
        <w:t xml:space="preserve">Conviene no idealizar a Robin. Tras dejar Cempuis dedicó sus últimos años a la propaganda neomalthusiana y eugenésica, fundando en 1896 la Liga de la Regeneración Humana y defendiendo una fórmula —'buen nacimiento, buena educación, buena organización social'— que la mayoría de los líderes libertarios no acompañó y que la historia posterior de la eugenesia obliga a mirar con severidad. Sus últimos años fueron difíciles: enfermo e incomprendido, se suicidó el 31 de agosto de 1912, disponiendo, como buen amante de la ciencia, que su cuerpo fuese entregado a la escuela de medicina de París. La misma voluntad de coherencia entre las </w:t>
      </w:r>
      <w:r w:rsidRPr="008B7E85">
        <w:rPr>
          <w:color w:val="auto"/>
        </w:rPr>
        <w:lastRenderedPageBreak/>
        <w:t>ideas y la vida que había hecho de Cempuis un 'teatro visible' lo acompañó hasta el final, para bien y para mal.</w:t>
      </w:r>
      <w:r w:rsidRPr="008B7E85">
        <w:rPr>
          <w:rStyle w:val="Refdenotaalpie"/>
          <w:color w:val="auto"/>
        </w:rPr>
        <w:footnoteReference w:id="11"/>
      </w:r>
    </w:p>
    <w:p w:rsidR="00994403" w:rsidRPr="008B7E85" w:rsidRDefault="002D6CB9" w:rsidP="008B7E85">
      <w:pPr>
        <w:pStyle w:val="Ttulo2"/>
        <w:spacing w:before="360" w:after="140"/>
        <w:rPr>
          <w:color w:val="auto"/>
        </w:rPr>
      </w:pPr>
      <w:r w:rsidRPr="008B7E85">
        <w:rPr>
          <w:b/>
          <w:bCs/>
          <w:color w:val="auto"/>
          <w:sz w:val="27"/>
          <w:szCs w:val="27"/>
        </w:rPr>
        <w:t>VIII. La herencia escrita: de Cempuis a la Liga de Montevideo</w:t>
      </w:r>
    </w:p>
    <w:p w:rsidR="00994403" w:rsidRPr="008B7E85" w:rsidRDefault="00994403" w:rsidP="008B7E85">
      <w:pPr>
        <w:spacing w:before="60" w:after="60"/>
        <w:rPr>
          <w:color w:val="auto"/>
        </w:rPr>
      </w:pPr>
    </w:p>
    <w:p w:rsidR="00994403" w:rsidRPr="008B7E85" w:rsidRDefault="002D6CB9" w:rsidP="008B7E85">
      <w:pPr>
        <w:spacing w:after="160"/>
        <w:ind w:firstLine="720"/>
        <w:jc w:val="both"/>
        <w:rPr>
          <w:color w:val="auto"/>
        </w:rPr>
      </w:pPr>
      <w:r w:rsidRPr="008B7E85">
        <w:rPr>
          <w:color w:val="auto"/>
        </w:rPr>
        <w:t xml:space="preserve">El destino de Cempuis confirma que su escritura fue más duradera que su existencia institucional. Como observó Emma Goldman, la escuela 'había estado en actividad bastante tiempo como para probar a todos los educadores avanzados sus formidables posibilidades'. El </w:t>
      </w:r>
      <w:bookmarkStart w:id="0" w:name="_GoBack"/>
      <w:bookmarkEnd w:id="0"/>
      <w:r w:rsidRPr="008B7E85">
        <w:rPr>
          <w:color w:val="auto"/>
        </w:rPr>
        <w:t>experimento sobrevivió a su clausura precisamente porque había sido escrito. En 1893, un año antes de su destitución, Robin había fundado en Bruselas la Asociación Universal de Educación Integral, con un manifiesto firmado por maestros de Gante, Ámsterdam, Róterdam, Bruselas y un publicista chileno. Esa asociación influyó después en la idea de Francisco Ferrer i Guardia de crear una Liga Internacional para la Educación Racional de la Infancia.</w:t>
      </w:r>
      <w:r w:rsidRPr="008B7E85">
        <w:rPr>
          <w:rStyle w:val="Refdenotaalpie"/>
          <w:color w:val="auto"/>
        </w:rPr>
        <w:footnoteReference w:id="12"/>
      </w:r>
    </w:p>
    <w:p w:rsidR="00994403" w:rsidRPr="008B7E85" w:rsidRDefault="002D6CB9" w:rsidP="008B7E85">
      <w:pPr>
        <w:spacing w:after="160"/>
        <w:ind w:firstLine="720"/>
        <w:jc w:val="both"/>
        <w:rPr>
          <w:color w:val="auto"/>
        </w:rPr>
      </w:pPr>
      <w:r w:rsidRPr="008B7E85">
        <w:rPr>
          <w:color w:val="auto"/>
        </w:rPr>
        <w:t xml:space="preserve">La cadena de transmisión es la misma que esta serie ha venido siguiendo. Las ideas neomalthusianas y pedagógicas de Robin llegaron al Río de la Plata a comienzos del siglo XX a través de editoriales anarquistas como Salud y Fuerza de Barcelona, que tenía representantes en Montevideo, Buenos Aires, Santiago, São Paulo, Lima y La Habana. José Ingenieros recordaba 'la guerra feroz a la escuela de Cempuis, donde el apóstol Paul Robin puso en práctica los principios de la educación integral'. Cuando en 1911 se fundó en Montevideo la Liga Popular para la Educación Racional de la Infancia —desembocadura rioplatense de esta tradición—, los principios que se discutían en sus revistas </w:t>
      </w:r>
      <w:r w:rsidRPr="008B7E85">
        <w:rPr>
          <w:i/>
          <w:iCs/>
          <w:color w:val="auto"/>
        </w:rPr>
        <w:t>Infancia</w:t>
      </w:r>
      <w:r w:rsidRPr="008B7E85">
        <w:rPr>
          <w:color w:val="auto"/>
        </w:rPr>
        <w:t xml:space="preserve"> y </w:t>
      </w:r>
      <w:r w:rsidRPr="008B7E85">
        <w:rPr>
          <w:i/>
          <w:iCs/>
          <w:color w:val="auto"/>
        </w:rPr>
        <w:t>Educación Sociológica</w:t>
      </w:r>
      <w:r w:rsidRPr="008B7E85">
        <w:rPr>
          <w:color w:val="auto"/>
        </w:rPr>
        <w:t xml:space="preserve"> venían, en parte, de aquel orfanato del norte de Francia.</w:t>
      </w:r>
      <w:r w:rsidRPr="008B7E85">
        <w:rPr>
          <w:rStyle w:val="Refdenotaalpie"/>
          <w:color w:val="auto"/>
        </w:rPr>
        <w:footnoteReference w:id="13"/>
      </w:r>
    </w:p>
    <w:p w:rsidR="00994403" w:rsidRPr="008B7E85" w:rsidRDefault="002D6CB9" w:rsidP="008B7E85">
      <w:pPr>
        <w:spacing w:after="160"/>
        <w:ind w:firstLine="720"/>
        <w:jc w:val="both"/>
        <w:rPr>
          <w:color w:val="auto"/>
        </w:rPr>
      </w:pPr>
      <w:r w:rsidRPr="008B7E85">
        <w:rPr>
          <w:color w:val="auto"/>
        </w:rPr>
        <w:t>Lo que viajó de Cempuis a Montevideo no fue la institución, que no podía trasladarse, sino su escritura: el Manifiesto, el Bulletin, el libro de Giroud, los principios de la Asociación Universal. La educación integral se propagó como texto. Y esto devuelve la reflexión a su punto de partida. Cempuis pudo gravitar a miles de kilómetros y décadas después porque Robin, Giroud y los componedores del taller de imprenta convirtieron la experiencia en texto. Una práctica educativa no escrita se extingue con sus protagonistas; la escritura fue, para esta tradición, la condición de su transmisibilidad, no su ornamento.</w:t>
      </w:r>
    </w:p>
    <w:p w:rsidR="00994403" w:rsidRPr="008B7E85" w:rsidRDefault="002D6CB9" w:rsidP="008B7E85">
      <w:pPr>
        <w:spacing w:after="160"/>
        <w:ind w:firstLine="720"/>
        <w:jc w:val="both"/>
        <w:rPr>
          <w:color w:val="auto"/>
        </w:rPr>
      </w:pPr>
      <w:r w:rsidRPr="008B7E85">
        <w:rPr>
          <w:color w:val="auto"/>
        </w:rPr>
        <w:t xml:space="preserve">Robin no legó una escuela sino el relato de una escuela, y fue ese relato —no el edificio ni la matrícula— lo que resultó operante. El gesto lo emparenta con Tolstoi en Yasnaia Poliana, con los autodidactas de sus noches de estudio, con los redactores de </w:t>
      </w:r>
      <w:r w:rsidRPr="008B7E85">
        <w:rPr>
          <w:i/>
          <w:iCs/>
          <w:color w:val="auto"/>
        </w:rPr>
        <w:t>Infancia</w:t>
      </w:r>
      <w:r w:rsidRPr="008B7E85">
        <w:rPr>
          <w:color w:val="auto"/>
        </w:rPr>
        <w:t xml:space="preserve">. Para esta tradición la </w:t>
      </w:r>
      <w:r w:rsidRPr="008B7E85">
        <w:rPr>
          <w:color w:val="auto"/>
        </w:rPr>
        <w:lastRenderedPageBreak/>
        <w:t>cultura escrita no acompañaba a la educación: era el lugar donde la educación se pensaba, se litigaba y se heredaba.</w:t>
      </w:r>
    </w:p>
    <w:p w:rsidR="00994403" w:rsidRPr="008B7E85" w:rsidRDefault="00994403" w:rsidP="008B7E85">
      <w:pPr>
        <w:spacing w:before="60" w:after="60"/>
        <w:rPr>
          <w:color w:val="auto"/>
        </w:rPr>
      </w:pPr>
    </w:p>
    <w:p w:rsidR="00994403" w:rsidRPr="008B7E85" w:rsidRDefault="002D6CB9" w:rsidP="008B7E85">
      <w:pPr>
        <w:pStyle w:val="Ttulo3"/>
        <w:spacing w:before="240" w:after="100"/>
        <w:rPr>
          <w:color w:val="auto"/>
          <w:lang w:val="fr-FR"/>
        </w:rPr>
      </w:pPr>
      <w:r w:rsidRPr="008B7E85">
        <w:rPr>
          <w:b/>
          <w:bCs/>
          <w:i/>
          <w:iCs/>
          <w:color w:val="auto"/>
          <w:sz w:val="22"/>
          <w:szCs w:val="22"/>
          <w:lang w:val="fr-FR"/>
        </w:rPr>
        <w:t>Fuentes primarias</w:t>
      </w:r>
    </w:p>
    <w:p w:rsidR="00994403" w:rsidRPr="008B7E85" w:rsidRDefault="00994403" w:rsidP="008B7E85">
      <w:pPr>
        <w:spacing w:before="60" w:after="60"/>
        <w:rPr>
          <w:color w:val="auto"/>
          <w:lang w:val="fr-FR"/>
        </w:rPr>
      </w:pPr>
    </w:p>
    <w:p w:rsidR="00994403" w:rsidRPr="008B7E85" w:rsidRDefault="002D6CB9" w:rsidP="008B7E85">
      <w:pPr>
        <w:spacing w:after="120"/>
        <w:ind w:left="360" w:hanging="360"/>
        <w:jc w:val="both"/>
        <w:rPr>
          <w:color w:val="auto"/>
          <w:lang w:val="fr-FR"/>
        </w:rPr>
      </w:pPr>
      <w:r w:rsidRPr="008B7E85">
        <w:rPr>
          <w:color w:val="auto"/>
          <w:sz w:val="21"/>
          <w:szCs w:val="21"/>
          <w:lang w:val="fr-FR"/>
        </w:rPr>
        <w:t>Giroud, Gabriel, Cempuis: éducation intégrale. Coéducation des sexes, d'après les documents officiels et les publications de l'établissement, París, Schleicher frères, 1900.</w:t>
      </w:r>
    </w:p>
    <w:p w:rsidR="00994403" w:rsidRPr="008B7E85" w:rsidRDefault="002D6CB9" w:rsidP="008B7E85">
      <w:pPr>
        <w:spacing w:after="120"/>
        <w:ind w:left="360" w:hanging="360"/>
        <w:jc w:val="both"/>
        <w:rPr>
          <w:color w:val="auto"/>
        </w:rPr>
      </w:pPr>
      <w:r w:rsidRPr="008B7E85">
        <w:rPr>
          <w:color w:val="auto"/>
          <w:sz w:val="21"/>
          <w:szCs w:val="21"/>
        </w:rPr>
        <w:t>Robin, Paul, Manifiesto sobre la educación integral [1869-1870]; reproducido parcialmente en los apuntes de clase de la cátedra.</w:t>
      </w:r>
    </w:p>
    <w:p w:rsidR="00994403" w:rsidRPr="008B7E85" w:rsidRDefault="002D6CB9" w:rsidP="008B7E85">
      <w:pPr>
        <w:spacing w:after="120"/>
        <w:ind w:left="360" w:hanging="360"/>
        <w:jc w:val="both"/>
        <w:rPr>
          <w:color w:val="auto"/>
          <w:lang w:val="fr-FR"/>
        </w:rPr>
      </w:pPr>
      <w:r w:rsidRPr="008B7E85">
        <w:rPr>
          <w:color w:val="auto"/>
          <w:sz w:val="21"/>
          <w:szCs w:val="21"/>
          <w:lang w:val="fr-FR"/>
        </w:rPr>
        <w:t>Robin, Paul et al</w:t>
      </w:r>
      <w:r w:rsidR="008B60EF">
        <w:rPr>
          <w:color w:val="auto"/>
          <w:sz w:val="21"/>
          <w:szCs w:val="21"/>
          <w:lang w:val="fr-FR"/>
        </w:rPr>
        <w:t>l.</w:t>
      </w:r>
      <w:r w:rsidRPr="008B7E85">
        <w:rPr>
          <w:color w:val="auto"/>
          <w:sz w:val="21"/>
          <w:szCs w:val="21"/>
          <w:lang w:val="fr-FR"/>
        </w:rPr>
        <w:t>, Cempuis ou l'éducation intégrale, 1900 (texto disponible en panarchy.org).</w:t>
      </w:r>
    </w:p>
    <w:p w:rsidR="00994403" w:rsidRPr="008B7E85" w:rsidRDefault="002D6CB9" w:rsidP="008B7E85">
      <w:pPr>
        <w:spacing w:after="120"/>
        <w:ind w:left="360" w:hanging="360"/>
        <w:jc w:val="both"/>
        <w:rPr>
          <w:color w:val="auto"/>
          <w:lang w:val="fr-FR"/>
        </w:rPr>
      </w:pPr>
      <w:r w:rsidRPr="008B7E85">
        <w:rPr>
          <w:color w:val="auto"/>
          <w:sz w:val="21"/>
          <w:szCs w:val="21"/>
          <w:lang w:val="fr-FR"/>
        </w:rPr>
        <w:t>Robin, Paul, entrada 'Éducation intégrale', en Ferdinand Buisson (dir.), Dictionnaire de pédagogie et d'instruction primaire, París, Hachette, 1882-1887.</w:t>
      </w:r>
    </w:p>
    <w:p w:rsidR="00994403" w:rsidRPr="008B7E85" w:rsidRDefault="002D6CB9" w:rsidP="008B7E85">
      <w:pPr>
        <w:spacing w:after="120"/>
        <w:ind w:left="360" w:hanging="360"/>
        <w:jc w:val="both"/>
        <w:rPr>
          <w:color w:val="auto"/>
          <w:lang w:val="fr-FR"/>
        </w:rPr>
      </w:pPr>
      <w:r w:rsidRPr="008B7E85">
        <w:rPr>
          <w:color w:val="auto"/>
          <w:sz w:val="21"/>
          <w:szCs w:val="21"/>
          <w:lang w:val="fr-FR"/>
        </w:rPr>
        <w:t>Bulletin de l'Orphelinat Prévost de Cempuis, 1880-1894.</w:t>
      </w:r>
    </w:p>
    <w:p w:rsidR="00994403" w:rsidRPr="008B7E85" w:rsidRDefault="00994403" w:rsidP="008B7E85">
      <w:pPr>
        <w:spacing w:before="60" w:after="60"/>
        <w:rPr>
          <w:color w:val="auto"/>
          <w:lang w:val="fr-FR"/>
        </w:rPr>
      </w:pPr>
    </w:p>
    <w:p w:rsidR="00994403" w:rsidRPr="008B7E85" w:rsidRDefault="002D6CB9" w:rsidP="008B7E85">
      <w:pPr>
        <w:pStyle w:val="Ttulo3"/>
        <w:spacing w:before="240" w:after="100"/>
        <w:rPr>
          <w:color w:val="auto"/>
          <w:lang w:val="fr-FR"/>
        </w:rPr>
      </w:pPr>
      <w:r w:rsidRPr="008B7E85">
        <w:rPr>
          <w:b/>
          <w:bCs/>
          <w:i/>
          <w:iCs/>
          <w:color w:val="auto"/>
          <w:sz w:val="22"/>
          <w:szCs w:val="22"/>
          <w:lang w:val="fr-FR"/>
        </w:rPr>
        <w:t>Bibliografía crítica</w:t>
      </w:r>
    </w:p>
    <w:p w:rsidR="00994403" w:rsidRPr="008B7E85" w:rsidRDefault="00994403" w:rsidP="008B7E85">
      <w:pPr>
        <w:spacing w:before="60" w:after="60"/>
        <w:rPr>
          <w:color w:val="auto"/>
          <w:lang w:val="fr-FR"/>
        </w:rPr>
      </w:pPr>
    </w:p>
    <w:p w:rsidR="00994403" w:rsidRPr="008B7E85" w:rsidRDefault="002D6CB9" w:rsidP="008B7E85">
      <w:pPr>
        <w:spacing w:after="120"/>
        <w:ind w:left="360" w:hanging="360"/>
        <w:jc w:val="both"/>
        <w:rPr>
          <w:color w:val="auto"/>
          <w:lang w:val="fr-FR"/>
        </w:rPr>
      </w:pPr>
      <w:r w:rsidRPr="008B7E85">
        <w:rPr>
          <w:color w:val="auto"/>
          <w:sz w:val="21"/>
          <w:szCs w:val="21"/>
          <w:lang w:val="fr-FR"/>
        </w:rPr>
        <w:t>Brémand, Nathalie, Cempuis, une expérience d'éducation libertaire à l'époque de Jules Ferry, 1880-1894, París, Éditions du Monde Libertaire, 1992.</w:t>
      </w:r>
    </w:p>
    <w:p w:rsidR="00994403" w:rsidRPr="008B7E85" w:rsidRDefault="002D6CB9" w:rsidP="008B7E85">
      <w:pPr>
        <w:spacing w:after="120"/>
        <w:ind w:left="360" w:hanging="360"/>
        <w:jc w:val="both"/>
        <w:rPr>
          <w:color w:val="auto"/>
          <w:lang w:val="fr-FR"/>
        </w:rPr>
      </w:pPr>
      <w:r w:rsidRPr="008B7E85">
        <w:rPr>
          <w:color w:val="auto"/>
          <w:sz w:val="21"/>
          <w:szCs w:val="21"/>
          <w:lang w:val="fr-FR"/>
        </w:rPr>
        <w:t>Demeulenaere-Douyère, Christiane, Paul Robin (1837-1912), un militant de la liberté et du bonheur, París, Publisud, 1994.</w:t>
      </w:r>
    </w:p>
    <w:p w:rsidR="00994403" w:rsidRPr="008B7E85" w:rsidRDefault="002D6CB9" w:rsidP="008B7E85">
      <w:pPr>
        <w:spacing w:after="120"/>
        <w:ind w:left="360" w:hanging="360"/>
        <w:jc w:val="both"/>
        <w:rPr>
          <w:color w:val="auto"/>
          <w:lang w:val="fr-FR"/>
        </w:rPr>
      </w:pPr>
      <w:r w:rsidRPr="008B7E85">
        <w:rPr>
          <w:color w:val="auto"/>
          <w:sz w:val="21"/>
          <w:szCs w:val="21"/>
          <w:lang w:val="fr-FR"/>
        </w:rPr>
        <w:t>Dommanget, Maurice, Paul Robin, col. Les grands éducateurs socialistes, París, SUDEL.</w:t>
      </w:r>
    </w:p>
    <w:p w:rsidR="00994403" w:rsidRPr="008B7E85" w:rsidRDefault="002D6CB9" w:rsidP="008B7E85">
      <w:pPr>
        <w:spacing w:after="120"/>
        <w:ind w:left="360" w:hanging="360"/>
        <w:jc w:val="both"/>
        <w:rPr>
          <w:color w:val="auto"/>
        </w:rPr>
      </w:pPr>
      <w:r w:rsidRPr="008B7E85">
        <w:rPr>
          <w:color w:val="auto"/>
          <w:sz w:val="21"/>
          <w:szCs w:val="21"/>
        </w:rPr>
        <w:t>García Moriyón, Félix, Senderos de libertad, Madrid, Madre Tierra.</w:t>
      </w:r>
    </w:p>
    <w:p w:rsidR="00994403" w:rsidRPr="008B7E85" w:rsidRDefault="002D6CB9" w:rsidP="008B7E85">
      <w:pPr>
        <w:spacing w:after="120"/>
        <w:ind w:left="360" w:hanging="360"/>
        <w:jc w:val="both"/>
        <w:rPr>
          <w:color w:val="auto"/>
        </w:rPr>
      </w:pPr>
      <w:r w:rsidRPr="008B7E85">
        <w:rPr>
          <w:color w:val="auto"/>
          <w:sz w:val="21"/>
          <w:szCs w:val="21"/>
        </w:rPr>
        <w:t>Garay Montaner, Gerardo, La Liga Popular para la Educación Racional de la Infancia, Montevideo 1911-1916, Tesis doctoral, Universidad Nacional de La Plata, 2017.</w:t>
      </w:r>
    </w:p>
    <w:p w:rsidR="00994403" w:rsidRPr="008B7E85" w:rsidRDefault="002D6CB9" w:rsidP="008B7E85">
      <w:pPr>
        <w:spacing w:after="120"/>
        <w:ind w:left="360" w:hanging="360"/>
        <w:jc w:val="both"/>
        <w:rPr>
          <w:color w:val="auto"/>
        </w:rPr>
      </w:pPr>
      <w:r w:rsidRPr="008B7E85">
        <w:rPr>
          <w:color w:val="auto"/>
          <w:sz w:val="21"/>
          <w:szCs w:val="21"/>
        </w:rPr>
        <w:t>Garay Montaner, Gerardo, 'La experiencia de Yasnaia Poliana como escritura autorreferencial', Fermentario, n.° 7, vol. 2, Montevideo, FHUCE-UDELAR, 2013.</w:t>
      </w:r>
    </w:p>
    <w:p w:rsidR="00994403" w:rsidRPr="008B7E85" w:rsidRDefault="002D6CB9" w:rsidP="008B7E85">
      <w:pPr>
        <w:spacing w:after="120"/>
        <w:ind w:left="360" w:hanging="360"/>
        <w:jc w:val="both"/>
        <w:rPr>
          <w:color w:val="auto"/>
        </w:rPr>
      </w:pPr>
      <w:r w:rsidRPr="008B7E85">
        <w:rPr>
          <w:color w:val="auto"/>
          <w:sz w:val="21"/>
          <w:szCs w:val="21"/>
        </w:rPr>
        <w:t>Giroud, Gabriel, 'Un précurseur de la mixité: Paul Robin et la coéducation des sexes', Clio. Histoire, femmes et sociétés, n.° 18, 2003, pp. 125-132.</w:t>
      </w:r>
    </w:p>
    <w:p w:rsidR="00994403" w:rsidRPr="008B7E85" w:rsidRDefault="002D6CB9" w:rsidP="008B7E85">
      <w:pPr>
        <w:spacing w:after="120"/>
        <w:ind w:left="360" w:hanging="360"/>
        <w:jc w:val="both"/>
        <w:rPr>
          <w:color w:val="auto"/>
        </w:rPr>
      </w:pPr>
      <w:r w:rsidRPr="008B7E85">
        <w:rPr>
          <w:color w:val="auto"/>
          <w:sz w:val="21"/>
          <w:szCs w:val="21"/>
        </w:rPr>
        <w:t>Goldman, Emma, 'Francisco Ferrer y la Escuela Moderna', en Anarquismo y otros ensayos.</w:t>
      </w:r>
    </w:p>
    <w:p w:rsidR="00994403" w:rsidRPr="008B7E85" w:rsidRDefault="002D6CB9" w:rsidP="008B7E85">
      <w:pPr>
        <w:spacing w:after="120"/>
        <w:ind w:left="360" w:hanging="360"/>
        <w:jc w:val="both"/>
        <w:rPr>
          <w:color w:val="auto"/>
        </w:rPr>
      </w:pPr>
      <w:r w:rsidRPr="008B7E85">
        <w:rPr>
          <w:color w:val="auto"/>
          <w:sz w:val="21"/>
          <w:szCs w:val="21"/>
        </w:rPr>
        <w:t>Ingenieros, José, Los tiempos nuevos. La educación integral en Rusia, 1921.</w:t>
      </w:r>
    </w:p>
    <w:p w:rsidR="00994403" w:rsidRPr="008B7E85" w:rsidRDefault="002D6CB9" w:rsidP="008B7E85">
      <w:pPr>
        <w:spacing w:after="120"/>
        <w:ind w:left="360" w:hanging="360"/>
        <w:jc w:val="both"/>
        <w:rPr>
          <w:color w:val="auto"/>
          <w:lang w:val="en-GB"/>
        </w:rPr>
      </w:pPr>
      <w:r w:rsidRPr="008B7E85">
        <w:rPr>
          <w:color w:val="auto"/>
          <w:sz w:val="21"/>
          <w:szCs w:val="21"/>
          <w:lang w:val="en-GB"/>
        </w:rPr>
        <w:t>McLaren, Peter, 'Paul Robin and the Cempuis experiment', 1981.</w:t>
      </w:r>
    </w:p>
    <w:p w:rsidR="00994403" w:rsidRPr="008B7E85" w:rsidRDefault="002D6CB9" w:rsidP="008B7E85">
      <w:pPr>
        <w:spacing w:after="120"/>
        <w:ind w:left="360" w:hanging="360"/>
        <w:jc w:val="both"/>
        <w:rPr>
          <w:color w:val="auto"/>
        </w:rPr>
      </w:pPr>
      <w:r w:rsidRPr="008B7E85">
        <w:rPr>
          <w:color w:val="auto"/>
          <w:sz w:val="21"/>
          <w:szCs w:val="21"/>
        </w:rPr>
        <w:t>Tomassi, Tina, Breviario del pensamiento educativo libertario, Madrid, Madre Tierra, 1988.</w:t>
      </w:r>
    </w:p>
    <w:sectPr w:rsidR="00994403" w:rsidRPr="008B7E85">
      <w:headerReference w:type="default" r:id="rId6"/>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C13" w:rsidRDefault="00403C13">
      <w:r>
        <w:separator/>
      </w:r>
    </w:p>
  </w:endnote>
  <w:endnote w:type="continuationSeparator" w:id="0">
    <w:p w:rsidR="00403C13" w:rsidRDefault="0040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03" w:rsidRDefault="002D6CB9">
    <w:pPr>
      <w:pBdr>
        <w:top w:val="single" w:sz="2" w:space="4" w:color="3D5A2E"/>
      </w:pBdr>
      <w:jc w:val="center"/>
    </w:pPr>
    <w:r>
      <w:rPr>
        <w:color w:val="454838"/>
        <w:sz w:val="18"/>
        <w:szCs w:val="18"/>
      </w:rPr>
      <w:t xml:space="preserve">— </w:t>
    </w:r>
    <w:r>
      <w:fldChar w:fldCharType="begin"/>
    </w:r>
    <w:r>
      <w:instrText>PAGE</w:instrText>
    </w:r>
    <w:r>
      <w:fldChar w:fldCharType="separate"/>
    </w:r>
    <w:r w:rsidR="00765BD2">
      <w:rPr>
        <w:noProof/>
      </w:rPr>
      <w:t>6</w:t>
    </w:r>
    <w:r>
      <w:fldChar w:fldCharType="end"/>
    </w:r>
    <w:r>
      <w:rPr>
        <w:color w:val="454838"/>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C13" w:rsidRDefault="00403C13">
      <w:r>
        <w:separator/>
      </w:r>
    </w:p>
  </w:footnote>
  <w:footnote w:type="continuationSeparator" w:id="0">
    <w:p w:rsidR="00403C13" w:rsidRDefault="00403C13">
      <w:r>
        <w:continuationSeparator/>
      </w:r>
    </w:p>
  </w:footnote>
  <w:footnote w:id="1">
    <w:p w:rsidR="00994403" w:rsidRPr="00765BD2" w:rsidRDefault="002D6CB9">
      <w:pPr>
        <w:rPr>
          <w:color w:val="auto"/>
          <w:lang w:val="fr-FR"/>
        </w:rPr>
      </w:pPr>
      <w:r w:rsidRPr="00765BD2">
        <w:rPr>
          <w:rStyle w:val="Refdenotaalpie"/>
          <w:color w:val="auto"/>
        </w:rPr>
        <w:footnoteRef/>
      </w:r>
      <w:r w:rsidRPr="00765BD2">
        <w:rPr>
          <w:color w:val="auto"/>
          <w:sz w:val="18"/>
          <w:szCs w:val="18"/>
        </w:rPr>
        <w:t xml:space="preserve">Apuntes de clase sobre Paul Robin, a partir del 'Manifiesto de la educación integral' (1869-1870) y de Gabriel Giroud, Cempuis: éducation intégrale. </w:t>
      </w:r>
      <w:r w:rsidRPr="00765BD2">
        <w:rPr>
          <w:color w:val="auto"/>
          <w:sz w:val="18"/>
          <w:szCs w:val="18"/>
          <w:lang w:val="fr-FR"/>
        </w:rPr>
        <w:t>Coéducation des sexes, d'après les documents officiels et les publications de l'établissement, París, Schleicher frères, 1900.</w:t>
      </w:r>
    </w:p>
  </w:footnote>
  <w:footnote w:id="2">
    <w:p w:rsidR="00994403" w:rsidRPr="00765BD2" w:rsidRDefault="002D6CB9">
      <w:pPr>
        <w:rPr>
          <w:color w:val="auto"/>
          <w:lang w:val="fr-FR"/>
        </w:rPr>
      </w:pPr>
      <w:r w:rsidRPr="00765BD2">
        <w:rPr>
          <w:rStyle w:val="Refdenotaalpie"/>
          <w:color w:val="auto"/>
        </w:rPr>
        <w:footnoteRef/>
      </w:r>
      <w:r w:rsidRPr="00765BD2">
        <w:rPr>
          <w:color w:val="auto"/>
          <w:sz w:val="18"/>
          <w:szCs w:val="18"/>
          <w:lang w:val="fr-FR"/>
        </w:rPr>
        <w:t>Sobre la cadena de recomendación Guillaume-Buisson-Robin, véase la entrada 'Prévost orphanage' en Wikipedia, a partir de Peter McLaren, 'Paul Robin and the Cempuis</w:t>
      </w:r>
      <w:r w:rsidR="008B7E85" w:rsidRPr="00765BD2">
        <w:rPr>
          <w:color w:val="auto"/>
          <w:sz w:val="18"/>
          <w:szCs w:val="18"/>
          <w:lang w:val="fr-FR"/>
        </w:rPr>
        <w:t xml:space="preserve"> experiment', 1981.</w:t>
      </w:r>
    </w:p>
  </w:footnote>
  <w:footnote w:id="3">
    <w:p w:rsidR="00994403" w:rsidRPr="00765BD2" w:rsidRDefault="002D6CB9">
      <w:pPr>
        <w:rPr>
          <w:color w:val="auto"/>
          <w:lang w:val="fr-FR"/>
        </w:rPr>
      </w:pPr>
      <w:r w:rsidRPr="00765BD2">
        <w:rPr>
          <w:rStyle w:val="Refdenotaalpie"/>
          <w:color w:val="auto"/>
        </w:rPr>
        <w:footnoteRef/>
      </w:r>
      <w:r w:rsidRPr="00765BD2">
        <w:rPr>
          <w:color w:val="auto"/>
          <w:sz w:val="18"/>
          <w:szCs w:val="18"/>
          <w:lang w:val="fr-FR"/>
        </w:rPr>
        <w:t>Ferdinand Buisson (dir.), Dictionnaire de pédagogie et d'instruction primaire, París, Hachette, 1882-1887, donde Robin redactó la entrada sobre educación integral. Cf. la entrada 'ROBIN Paul' en el Maitron, Dictionnaire biographique du mouvement ouvrier français.</w:t>
      </w:r>
    </w:p>
  </w:footnote>
  <w:footnote w:id="4">
    <w:p w:rsidR="00994403" w:rsidRPr="00765BD2" w:rsidRDefault="002D6CB9">
      <w:pPr>
        <w:rPr>
          <w:color w:val="auto"/>
        </w:rPr>
      </w:pPr>
      <w:r w:rsidRPr="00765BD2">
        <w:rPr>
          <w:rStyle w:val="Refdenotaalpie"/>
          <w:color w:val="auto"/>
        </w:rPr>
        <w:footnoteRef/>
      </w:r>
      <w:r w:rsidRPr="00765BD2">
        <w:rPr>
          <w:color w:val="auto"/>
          <w:sz w:val="18"/>
          <w:szCs w:val="18"/>
        </w:rPr>
        <w:t>Paul Robin, Manifiesto sobr</w:t>
      </w:r>
      <w:r w:rsidR="008B7E85" w:rsidRPr="00765BD2">
        <w:rPr>
          <w:color w:val="auto"/>
          <w:sz w:val="18"/>
          <w:szCs w:val="18"/>
        </w:rPr>
        <w:t>e la educación integral [1869]</w:t>
      </w:r>
      <w:r w:rsidRPr="00765BD2">
        <w:rPr>
          <w:color w:val="auto"/>
          <w:sz w:val="18"/>
          <w:szCs w:val="18"/>
        </w:rPr>
        <w:t>. La metáfora de la enciclopedia como 'instrucción en círculo' procede del mismo texto.</w:t>
      </w:r>
    </w:p>
  </w:footnote>
  <w:footnote w:id="5">
    <w:p w:rsidR="00994403" w:rsidRPr="00765BD2" w:rsidRDefault="002D6CB9">
      <w:pPr>
        <w:rPr>
          <w:color w:val="auto"/>
        </w:rPr>
      </w:pPr>
      <w:r w:rsidRPr="00765BD2">
        <w:rPr>
          <w:rStyle w:val="Refdenotaalpie"/>
          <w:color w:val="auto"/>
        </w:rPr>
        <w:footnoteRef/>
      </w:r>
      <w:r w:rsidRPr="00765BD2">
        <w:rPr>
          <w:color w:val="auto"/>
          <w:sz w:val="18"/>
          <w:szCs w:val="18"/>
        </w:rPr>
        <w:t>Sobre el régimen higiénico, los talleres y el batallón escolar, apuntes de clase, op. cit. La cifra de los diecinueve talleres y los más de seiscientos niños procede de las semblanzas biográficas en filosofia.org y en la Wikipedia francesa.</w:t>
      </w:r>
    </w:p>
  </w:footnote>
  <w:footnote w:id="6">
    <w:p w:rsidR="00994403" w:rsidRPr="00765BD2" w:rsidRDefault="002D6CB9">
      <w:pPr>
        <w:rPr>
          <w:color w:val="auto"/>
          <w:lang w:val="fr-FR"/>
        </w:rPr>
      </w:pPr>
      <w:r w:rsidRPr="00765BD2">
        <w:rPr>
          <w:rStyle w:val="Refdenotaalpie"/>
          <w:color w:val="auto"/>
        </w:rPr>
        <w:footnoteRef/>
      </w:r>
      <w:r w:rsidRPr="00765BD2">
        <w:rPr>
          <w:color w:val="auto"/>
          <w:sz w:val="18"/>
          <w:szCs w:val="18"/>
          <w:lang w:val="fr-FR"/>
        </w:rPr>
        <w:t>Nathalie Brémand, Cempuis, une expérience d'éducation libertaire à l'époque de Jules Ferry, 1880-1894, París, Éditions du Monde Libertaire, 1992 (Prix Jean-Maitron, 1989).</w:t>
      </w:r>
    </w:p>
  </w:footnote>
  <w:footnote w:id="7">
    <w:p w:rsidR="00994403" w:rsidRPr="00765BD2" w:rsidRDefault="002D6CB9">
      <w:pPr>
        <w:rPr>
          <w:color w:val="auto"/>
          <w:lang w:val="fr-FR"/>
        </w:rPr>
      </w:pPr>
      <w:r w:rsidRPr="00765BD2">
        <w:rPr>
          <w:rStyle w:val="Refdenotaalpie"/>
          <w:color w:val="auto"/>
        </w:rPr>
        <w:footnoteRef/>
      </w:r>
      <w:r w:rsidRPr="00765BD2">
        <w:rPr>
          <w:color w:val="auto"/>
          <w:sz w:val="18"/>
          <w:szCs w:val="18"/>
          <w:lang w:val="fr-FR"/>
        </w:rPr>
        <w:t>Christiane Demeulenaere-Douyère, Paul Robin (1837-1912), un militant de la liberté et du bonheur, París, Publisud, 1994. Sobre el Bulletin de l'Orphelinat Prévost como dispositivo de escritura interna, cf. también el dossier de la Fédération nationale de la Libre Pensée.</w:t>
      </w:r>
    </w:p>
  </w:footnote>
  <w:footnote w:id="8">
    <w:p w:rsidR="00994403" w:rsidRPr="00765BD2" w:rsidRDefault="002D6CB9">
      <w:pPr>
        <w:rPr>
          <w:color w:val="auto"/>
          <w:lang w:val="fr-FR"/>
        </w:rPr>
      </w:pPr>
      <w:r w:rsidRPr="00765BD2">
        <w:rPr>
          <w:rStyle w:val="Refdenotaalpie"/>
          <w:color w:val="auto"/>
        </w:rPr>
        <w:footnoteRef/>
      </w:r>
      <w:r w:rsidRPr="00765BD2">
        <w:rPr>
          <w:color w:val="auto"/>
          <w:sz w:val="18"/>
          <w:szCs w:val="18"/>
        </w:rPr>
        <w:t xml:space="preserve">Gabriel Giroud, ex alumno cempuisiano y yerno de Robin (casado con Lucie Robin), Cempuis, op. cit. Sobre el matrimonio Giroud-Robin como 'cumplimiento de la coeducación', véase Clio. </w:t>
      </w:r>
      <w:r w:rsidRPr="00765BD2">
        <w:rPr>
          <w:color w:val="auto"/>
          <w:sz w:val="18"/>
          <w:szCs w:val="18"/>
          <w:lang w:val="fr-FR"/>
        </w:rPr>
        <w:t>Histoire, femmes et sociétés, n.° 18, 2003, pp. 125-132.</w:t>
      </w:r>
    </w:p>
  </w:footnote>
  <w:footnote w:id="9">
    <w:p w:rsidR="00994403" w:rsidRPr="00765BD2" w:rsidRDefault="002D6CB9">
      <w:pPr>
        <w:rPr>
          <w:color w:val="auto"/>
        </w:rPr>
      </w:pPr>
      <w:r w:rsidRPr="00765BD2">
        <w:rPr>
          <w:rStyle w:val="Refdenotaalpie"/>
          <w:color w:val="auto"/>
        </w:rPr>
        <w:footnoteRef/>
      </w:r>
      <w:r w:rsidRPr="00765BD2">
        <w:rPr>
          <w:color w:val="auto"/>
          <w:sz w:val="18"/>
          <w:szCs w:val="18"/>
          <w:lang w:val="fr-FR"/>
        </w:rPr>
        <w:t xml:space="preserve">Félix García Moriyón, Senderos de libertad, Madrid, Madre Tierra, p. 189. </w:t>
      </w:r>
      <w:r w:rsidRPr="00765BD2">
        <w:rPr>
          <w:color w:val="auto"/>
          <w:sz w:val="18"/>
          <w:szCs w:val="18"/>
        </w:rPr>
        <w:t>'La educación es una tarea política; la política es una actividad educativa.'</w:t>
      </w:r>
    </w:p>
  </w:footnote>
  <w:footnote w:id="10">
    <w:p w:rsidR="00994403" w:rsidRPr="00765BD2" w:rsidRDefault="002D6CB9">
      <w:pPr>
        <w:rPr>
          <w:color w:val="auto"/>
        </w:rPr>
      </w:pPr>
      <w:r w:rsidRPr="00765BD2">
        <w:rPr>
          <w:rStyle w:val="Refdenotaalpie"/>
          <w:color w:val="auto"/>
        </w:rPr>
        <w:footnoteRef/>
      </w:r>
      <w:r w:rsidRPr="00765BD2">
        <w:rPr>
          <w:color w:val="auto"/>
          <w:sz w:val="18"/>
          <w:szCs w:val="18"/>
        </w:rPr>
        <w:t>Sobre la destitución de Robin en 1894 y la campaña de La Libre Parole, véase Brémand, op. cit., y la entrada 'Orphelinat de Cempuis' en Wikipédia (versión francesa). Octave Mirbeau defendió públicamente a Robin.</w:t>
      </w:r>
    </w:p>
  </w:footnote>
  <w:footnote w:id="11">
    <w:p w:rsidR="00994403" w:rsidRPr="00765BD2" w:rsidRDefault="002D6CB9">
      <w:pPr>
        <w:rPr>
          <w:color w:val="auto"/>
        </w:rPr>
      </w:pPr>
      <w:r w:rsidRPr="00765BD2">
        <w:rPr>
          <w:rStyle w:val="Refdenotaalpie"/>
          <w:color w:val="auto"/>
        </w:rPr>
        <w:footnoteRef/>
      </w:r>
      <w:r w:rsidRPr="00765BD2">
        <w:rPr>
          <w:color w:val="auto"/>
          <w:sz w:val="18"/>
          <w:szCs w:val="18"/>
        </w:rPr>
        <w:t>Foucault, Pierre Hadot y la noción de 'ejercicios espirituales' fueron desarrollados en el primer documento de la serie sobre Yasnaia Poliana; véase Gerardo Garay Montaner, 'La experiencia de Yasnaia Poliana como escritura autorreferencial', Fermentario, n.° 7, vol. 2, 2013.</w:t>
      </w:r>
    </w:p>
  </w:footnote>
  <w:footnote w:id="12">
    <w:p w:rsidR="00994403" w:rsidRPr="00765BD2" w:rsidRDefault="002D6CB9">
      <w:pPr>
        <w:rPr>
          <w:color w:val="auto"/>
        </w:rPr>
      </w:pPr>
      <w:r w:rsidRPr="00765BD2">
        <w:rPr>
          <w:rStyle w:val="Refdenotaalpie"/>
          <w:color w:val="auto"/>
        </w:rPr>
        <w:footnoteRef/>
      </w:r>
      <w:r w:rsidRPr="00765BD2">
        <w:rPr>
          <w:color w:val="auto"/>
          <w:sz w:val="18"/>
          <w:szCs w:val="18"/>
        </w:rPr>
        <w:t>Sobre la influencia de la Asociación Universal de Educación Integral (1893) en la Liga Internacional para la Educación Racional de la Infancia de Ferrer, véase los apuntes de clase y Garay Montaner, La Liga Popular para la Educación Racional de la Infancia, Montevideo 1911-1916, Tesis doctoral, UNLP, 2017.</w:t>
      </w:r>
    </w:p>
  </w:footnote>
  <w:footnote w:id="13">
    <w:p w:rsidR="00994403" w:rsidRPr="00765BD2" w:rsidRDefault="002D6CB9">
      <w:pPr>
        <w:rPr>
          <w:color w:val="auto"/>
        </w:rPr>
      </w:pPr>
      <w:r w:rsidRPr="00765BD2">
        <w:rPr>
          <w:rStyle w:val="Refdenotaalpie"/>
          <w:color w:val="auto"/>
        </w:rPr>
        <w:footnoteRef/>
      </w:r>
      <w:r w:rsidRPr="00765BD2">
        <w:rPr>
          <w:color w:val="auto"/>
          <w:sz w:val="18"/>
          <w:szCs w:val="18"/>
        </w:rPr>
        <w:t>José Ingenieros, Los tiempos nuevos. La educación integral en Rusia, 1921; Emma Goldman, 'Francisco Ferrer y la Escuela Moderna', citados en los apuntes de clase. Sobre la difusión rioplatense del neomalthusianismo de Robin a través de la editorial Salud y Fuerza, véase filosofia.org.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03" w:rsidRDefault="002D6CB9">
    <w:pPr>
      <w:pBdr>
        <w:bottom w:val="single" w:sz="2" w:space="4" w:color="3D5A2E"/>
      </w:pBdr>
      <w:spacing w:after="100"/>
      <w:jc w:val="right"/>
    </w:pPr>
    <w:r>
      <w:rPr>
        <w:i/>
        <w:iCs/>
        <w:color w:val="454838"/>
        <w:sz w:val="18"/>
        <w:szCs w:val="18"/>
      </w:rPr>
      <w:t xml:space="preserve">Historia de la Educación y la Cultura Escrita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03"/>
    <w:rsid w:val="00172076"/>
    <w:rsid w:val="002D6CB9"/>
    <w:rsid w:val="00403C13"/>
    <w:rsid w:val="005C3D4F"/>
    <w:rsid w:val="00765BD2"/>
    <w:rsid w:val="008B60EF"/>
    <w:rsid w:val="008B7E85"/>
    <w:rsid w:val="00994403"/>
    <w:rsid w:val="4F50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E392"/>
  <w15:docId w15:val="{4E6162F8-C192-4ECB-8113-F142CD27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16170F"/>
      <w:sz w:val="22"/>
      <w:szCs w:val="22"/>
    </w:rPr>
  </w:style>
  <w:style w:type="paragraph" w:styleId="Ttulo1">
    <w:name w:val="heading 1"/>
    <w:next w:val="Normal"/>
    <w:qFormat/>
    <w:pPr>
      <w:outlineLvl w:val="0"/>
    </w:pPr>
    <w:rPr>
      <w:color w:val="2E74B5"/>
      <w:sz w:val="32"/>
      <w:szCs w:val="32"/>
    </w:rPr>
  </w:style>
  <w:style w:type="paragraph" w:styleId="Ttulo2">
    <w:name w:val="heading 2"/>
    <w:next w:val="Normal"/>
    <w:qFormat/>
    <w:pPr>
      <w:outlineLvl w:val="1"/>
    </w:pPr>
    <w:rPr>
      <w:color w:val="2E74B5"/>
      <w:sz w:val="26"/>
      <w:szCs w:val="26"/>
    </w:rPr>
  </w:style>
  <w:style w:type="paragraph" w:styleId="Ttulo3">
    <w:name w:val="heading 3"/>
    <w:next w:val="Normal"/>
    <w:qFormat/>
    <w:pPr>
      <w:outlineLvl w:val="2"/>
    </w:pPr>
    <w:rPr>
      <w:color w:val="1F4D78"/>
      <w:sz w:val="24"/>
      <w:szCs w:val="24"/>
    </w:rPr>
  </w:style>
  <w:style w:type="paragraph" w:styleId="Ttulo4">
    <w:name w:val="heading 4"/>
    <w:next w:val="Normal"/>
    <w:qFormat/>
    <w:pPr>
      <w:outlineLvl w:val="3"/>
    </w:pPr>
    <w:rPr>
      <w:i/>
      <w:iCs/>
      <w:color w:val="2E74B5"/>
      <w:sz w:val="22"/>
      <w:szCs w:val="22"/>
    </w:rPr>
  </w:style>
  <w:style w:type="paragraph" w:styleId="Ttulo5">
    <w:name w:val="heading 5"/>
    <w:next w:val="Normal"/>
    <w:qFormat/>
    <w:pPr>
      <w:outlineLvl w:val="4"/>
    </w:pPr>
    <w:rPr>
      <w:color w:val="2E74B5"/>
      <w:sz w:val="22"/>
      <w:szCs w:val="22"/>
    </w:rPr>
  </w:style>
  <w:style w:type="paragraph" w:styleId="Ttulo6">
    <w:name w:val="heading 6"/>
    <w:next w:val="Normal"/>
    <w:qFormat/>
    <w:pPr>
      <w:outlineLvl w:val="5"/>
    </w:pPr>
    <w:rPr>
      <w:color w:val="1F4D78"/>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qFormat/>
    <w:rPr>
      <w:vertAlign w:val="superscript"/>
    </w:rPr>
  </w:style>
  <w:style w:type="character" w:styleId="Refdenotaalpie">
    <w:name w:val="footnote reference"/>
    <w:uiPriority w:val="99"/>
    <w:semiHidden/>
    <w:unhideWhenUsed/>
    <w:qFormat/>
    <w:rPr>
      <w:vertAlign w:val="superscript"/>
    </w:rPr>
  </w:style>
  <w:style w:type="character" w:styleId="Hipervnculo">
    <w:name w:val="Hyperlink"/>
    <w:uiPriority w:val="99"/>
    <w:unhideWhenUsed/>
    <w:qFormat/>
    <w:rPr>
      <w:color w:val="0563C1"/>
      <w:u w:val="single"/>
    </w:rPr>
  </w:style>
  <w:style w:type="paragraph" w:styleId="Textonotapie">
    <w:name w:val="footnote text"/>
    <w:link w:val="TextonotapieCar"/>
    <w:uiPriority w:val="99"/>
    <w:semiHidden/>
    <w:unhideWhenUsed/>
    <w:qFormat/>
    <w:rPr>
      <w:color w:val="16170F"/>
    </w:rPr>
  </w:style>
  <w:style w:type="paragraph" w:styleId="Textonotaalfinal">
    <w:name w:val="endnote text"/>
    <w:link w:val="TextonotaalfinalCar"/>
    <w:uiPriority w:val="99"/>
    <w:semiHidden/>
    <w:unhideWhenUsed/>
    <w:qFormat/>
    <w:rPr>
      <w:color w:val="16170F"/>
    </w:rPr>
  </w:style>
  <w:style w:type="paragraph" w:styleId="Ttulo">
    <w:name w:val="Title"/>
    <w:qFormat/>
    <w:rPr>
      <w:color w:val="16170F"/>
      <w:sz w:val="56"/>
      <w:szCs w:val="56"/>
    </w:rPr>
  </w:style>
  <w:style w:type="paragraph" w:styleId="Prrafodelista">
    <w:name w:val="List Paragraph"/>
    <w:qFormat/>
    <w:rPr>
      <w:color w:val="16170F"/>
      <w:sz w:val="22"/>
      <w:szCs w:val="22"/>
    </w:rPr>
  </w:style>
  <w:style w:type="character" w:customStyle="1" w:styleId="TextonotapieCar">
    <w:name w:val="Texto nota pie Car"/>
    <w:link w:val="Textonotapie"/>
    <w:uiPriority w:val="99"/>
    <w:semiHidden/>
    <w:unhideWhenUsed/>
    <w:qFormat/>
    <w:rPr>
      <w:sz w:val="20"/>
      <w:szCs w:val="20"/>
    </w:rPr>
  </w:style>
  <w:style w:type="character" w:customStyle="1" w:styleId="TextonotaalfinalCar">
    <w:name w:val="Texto nota al final Car"/>
    <w:link w:val="Textonotaalfinal"/>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2761</Words>
  <Characters>15186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cp:lastModifiedBy>
  <cp:revision>3</cp:revision>
  <dcterms:created xsi:type="dcterms:W3CDTF">2026-06-11T17:48:00Z</dcterms:created>
  <dcterms:modified xsi:type="dcterms:W3CDTF">2026-06-13T13:12:00Z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eyJoZGlkIjoiNzIyZTgzOTRhNTIxY2I2ZGJiMWM0ODM5YWM1YTJiZTQiLCJ1c2VySWQiOiIyMjE0NTE3OTk1MzMyNiJ9</vt:lpwstr>
  </property>
  <property fmtid="{D5CDD505-2E9C-101B-9397-08002B2CF9AE}" pid="3" name="KSOProductBuildVer">
    <vt:lpwstr>3082-12.1.0.26880</vt:lpwstr>
  </property>
  <property fmtid="{D5CDD505-2E9C-101B-9397-08002B2CF9AE}" pid="4" name="ICV">
    <vt:lpwstr>26179A7806D148D9A8982246AA81B4A9_13</vt:lpwstr>
  </property>
</Properties>
</file>